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5A2" w:rsidRPr="00DA75A2" w:rsidRDefault="00DA75A2" w:rsidP="00DA75A2">
      <w:pPr>
        <w:spacing w:after="0" w:line="360" w:lineRule="auto"/>
        <w:jc w:val="both"/>
        <w:rPr>
          <w:rFonts w:ascii="Palatino Linotype" w:hAnsi="Palatino Linotype" w:cs="Arial"/>
          <w:b/>
          <w:bCs/>
          <w:sz w:val="23"/>
          <w:szCs w:val="23"/>
        </w:rPr>
      </w:pPr>
      <w:r w:rsidRPr="00DA75A2">
        <w:rPr>
          <w:rFonts w:ascii="Palatino Linotype" w:eastAsia="Calibri" w:hAnsi="Palatino Linotype" w:cs="Arial"/>
          <w:b/>
          <w:sz w:val="24"/>
          <w:szCs w:val="24"/>
        </w:rPr>
        <w:t xml:space="preserve">VOTO PARTICULAR DEL COMISIONADO JOSÉ GUADALUPE LUNA HERNÁNDEZ EN EL RECURSO DE REVISIÓN </w:t>
      </w:r>
      <w:r w:rsidRPr="00DA75A2">
        <w:rPr>
          <w:rFonts w:ascii="Palatino Linotype" w:hAnsi="Palatino Linotype" w:cs="Arial"/>
          <w:b/>
          <w:bCs/>
          <w:sz w:val="23"/>
          <w:szCs w:val="23"/>
        </w:rPr>
        <w:t>0</w:t>
      </w:r>
      <w:r>
        <w:rPr>
          <w:rFonts w:ascii="Palatino Linotype" w:hAnsi="Palatino Linotype" w:cs="Arial"/>
          <w:b/>
          <w:bCs/>
          <w:sz w:val="23"/>
          <w:szCs w:val="23"/>
        </w:rPr>
        <w:t>4144</w:t>
      </w:r>
      <w:r w:rsidRPr="00DA75A2">
        <w:rPr>
          <w:rFonts w:ascii="Palatino Linotype" w:hAnsi="Palatino Linotype" w:cs="Arial"/>
          <w:b/>
          <w:bCs/>
          <w:sz w:val="23"/>
          <w:szCs w:val="23"/>
        </w:rPr>
        <w:t>/INFOEM/IP/RR/2018.</w:t>
      </w:r>
    </w:p>
    <w:p w:rsidR="00DA75A2" w:rsidRPr="00DA75A2" w:rsidRDefault="00DA75A2" w:rsidP="00DA75A2">
      <w:pPr>
        <w:spacing w:after="0" w:line="360" w:lineRule="auto"/>
        <w:jc w:val="both"/>
        <w:rPr>
          <w:rFonts w:ascii="Palatino Linotype" w:eastAsia="Calibri" w:hAnsi="Palatino Linotype" w:cs="Arial"/>
          <w:b/>
          <w:sz w:val="24"/>
          <w:szCs w:val="24"/>
        </w:rPr>
      </w:pPr>
    </w:p>
    <w:p w:rsidR="00DA75A2" w:rsidRPr="00DA75A2" w:rsidRDefault="00DA75A2" w:rsidP="00DA75A2">
      <w:pPr>
        <w:spacing w:after="0" w:line="360" w:lineRule="auto"/>
        <w:jc w:val="both"/>
        <w:rPr>
          <w:rFonts w:ascii="Palatino Linotype" w:hAnsi="Palatino Linotype" w:cs="Arial"/>
          <w:sz w:val="24"/>
          <w:szCs w:val="24"/>
        </w:rPr>
      </w:pPr>
      <w:r w:rsidRPr="00DA75A2">
        <w:rPr>
          <w:rFonts w:ascii="Palatino Linotype" w:eastAsia="Calibri" w:hAnsi="Palatino Linotype" w:cs="Arial"/>
          <w:b/>
          <w:sz w:val="24"/>
          <w:szCs w:val="24"/>
        </w:rPr>
        <w:t xml:space="preserve">Resumen del voto: </w:t>
      </w:r>
      <w:r w:rsidR="00EB009B" w:rsidRPr="00EB009B">
        <w:rPr>
          <w:rFonts w:ascii="Palatino Linotype" w:eastAsia="Calibri" w:hAnsi="Palatino Linotype" w:cs="Arial"/>
          <w:sz w:val="24"/>
          <w:szCs w:val="24"/>
        </w:rPr>
        <w:t>resulta innecesario querer proteger información confiden</w:t>
      </w:r>
      <w:r w:rsidR="00EB009B">
        <w:rPr>
          <w:rFonts w:ascii="Palatino Linotype" w:eastAsia="Calibri" w:hAnsi="Palatino Linotype" w:cs="Arial"/>
          <w:sz w:val="24"/>
          <w:szCs w:val="24"/>
        </w:rPr>
        <w:t xml:space="preserve">cial que </w:t>
      </w:r>
      <w:proofErr w:type="gramStart"/>
      <w:r w:rsidRPr="00DA75A2">
        <w:rPr>
          <w:rFonts w:ascii="Palatino Linotype" w:eastAsia="Calibri" w:hAnsi="Palatino Linotype" w:cs="Arial"/>
          <w:sz w:val="24"/>
          <w:szCs w:val="24"/>
        </w:rPr>
        <w:t>se</w:t>
      </w:r>
      <w:proofErr w:type="gramEnd"/>
      <w:r w:rsidRPr="00DA75A2">
        <w:rPr>
          <w:rFonts w:ascii="Palatino Linotype" w:eastAsia="Calibri" w:hAnsi="Palatino Linotype" w:cs="Arial"/>
          <w:sz w:val="24"/>
          <w:szCs w:val="24"/>
        </w:rPr>
        <w:t xml:space="preserve"> </w:t>
      </w:r>
      <w:r>
        <w:rPr>
          <w:rFonts w:ascii="Palatino Linotype" w:eastAsia="Calibri" w:hAnsi="Palatino Linotype" w:cs="Arial"/>
          <w:sz w:val="24"/>
          <w:szCs w:val="24"/>
        </w:rPr>
        <w:t>encuentre</w:t>
      </w:r>
      <w:r w:rsidRPr="00DA75A2">
        <w:rPr>
          <w:rFonts w:ascii="Palatino Linotype" w:eastAsia="Calibri" w:hAnsi="Palatino Linotype" w:cs="Arial"/>
          <w:sz w:val="24"/>
          <w:szCs w:val="24"/>
        </w:rPr>
        <w:t xml:space="preserve"> publicada en registros públicos</w:t>
      </w:r>
      <w:r>
        <w:rPr>
          <w:rFonts w:ascii="Palatino Linotype" w:eastAsia="Calibri" w:hAnsi="Palatino Linotype" w:cs="Arial"/>
          <w:sz w:val="24"/>
          <w:szCs w:val="24"/>
        </w:rPr>
        <w:t xml:space="preserve"> o fuentes de acceso, toda vez </w:t>
      </w:r>
      <w:r w:rsidR="00EB009B">
        <w:rPr>
          <w:rFonts w:ascii="Palatino Linotype" w:eastAsia="Calibri" w:hAnsi="Palatino Linotype" w:cs="Arial"/>
          <w:sz w:val="24"/>
          <w:szCs w:val="24"/>
        </w:rPr>
        <w:t>la misma está a disposición del escrutinio</w:t>
      </w:r>
      <w:r>
        <w:rPr>
          <w:rFonts w:ascii="Palatino Linotype" w:eastAsia="Calibri" w:hAnsi="Palatino Linotype" w:cs="Arial"/>
          <w:sz w:val="24"/>
          <w:szCs w:val="24"/>
        </w:rPr>
        <w:t xml:space="preserve"> público.</w:t>
      </w:r>
    </w:p>
    <w:p w:rsidR="00DA75A2" w:rsidRDefault="00DA75A2" w:rsidP="00DA75A2">
      <w:pPr>
        <w:spacing w:after="0" w:line="360" w:lineRule="auto"/>
        <w:jc w:val="both"/>
        <w:rPr>
          <w:rFonts w:ascii="Palatino Linotype" w:eastAsia="Calibri" w:hAnsi="Palatino Linotype" w:cs="Arial"/>
          <w:sz w:val="24"/>
          <w:szCs w:val="24"/>
        </w:rPr>
      </w:pPr>
    </w:p>
    <w:p w:rsidR="00071313" w:rsidRPr="00DA75A2" w:rsidRDefault="00071313" w:rsidP="00DA75A2">
      <w:pPr>
        <w:spacing w:after="0" w:line="360" w:lineRule="auto"/>
        <w:jc w:val="both"/>
        <w:rPr>
          <w:rFonts w:ascii="Palatino Linotype" w:eastAsia="Calibri" w:hAnsi="Palatino Linotype" w:cs="Arial"/>
          <w:sz w:val="24"/>
          <w:szCs w:val="24"/>
        </w:rPr>
      </w:pPr>
    </w:p>
    <w:p w:rsidR="00DA75A2" w:rsidRPr="00DA75A2" w:rsidRDefault="00DA75A2" w:rsidP="00DA75A2">
      <w:pPr>
        <w:keepNext/>
        <w:keepLines/>
        <w:spacing w:before="240" w:after="0" w:line="360" w:lineRule="auto"/>
        <w:rPr>
          <w:rFonts w:ascii="Palatino Linotype" w:eastAsiaTheme="majorEastAsia" w:hAnsi="Palatino Linotype" w:cs="Arial"/>
          <w:sz w:val="24"/>
          <w:szCs w:val="24"/>
          <w:lang w:eastAsia="es-MX"/>
        </w:rPr>
      </w:pPr>
      <w:r w:rsidRPr="00DA75A2">
        <w:rPr>
          <w:rFonts w:ascii="Palatino Linotype" w:eastAsiaTheme="majorEastAsia" w:hAnsi="Palatino Linotype" w:cs="Arial"/>
          <w:b/>
          <w:sz w:val="24"/>
          <w:szCs w:val="24"/>
          <w:lang w:eastAsia="es-MX"/>
        </w:rPr>
        <w:t>Índice.</w:t>
      </w:r>
    </w:p>
    <w:sdt>
      <w:sdtPr>
        <w:rPr>
          <w:sz w:val="24"/>
          <w:szCs w:val="24"/>
          <w:lang w:val="es-ES"/>
        </w:rPr>
        <w:id w:val="-1628690016"/>
        <w:docPartObj>
          <w:docPartGallery w:val="Table of Contents"/>
          <w:docPartUnique/>
        </w:docPartObj>
      </w:sdtPr>
      <w:sdtEndPr>
        <w:rPr>
          <w:rFonts w:ascii="Palatino Linotype" w:hAnsi="Palatino Linotype"/>
          <w:bCs/>
        </w:rPr>
      </w:sdtEndPr>
      <w:sdtContent>
        <w:p w:rsidR="00146D8F" w:rsidRDefault="00DA75A2">
          <w:pPr>
            <w:pStyle w:val="TDC1"/>
            <w:tabs>
              <w:tab w:val="left" w:pos="440"/>
              <w:tab w:val="right" w:leader="dot" w:pos="8828"/>
            </w:tabs>
            <w:rPr>
              <w:noProof/>
            </w:rPr>
          </w:pPr>
          <w:r w:rsidRPr="00DA75A2">
            <w:rPr>
              <w:rFonts w:ascii="Palatino Linotype" w:hAnsi="Palatino Linotype"/>
              <w:b/>
              <w:noProof/>
              <w:sz w:val="24"/>
              <w:szCs w:val="24"/>
            </w:rPr>
            <w:fldChar w:fldCharType="begin"/>
          </w:r>
          <w:r w:rsidRPr="00DA75A2">
            <w:rPr>
              <w:rFonts w:ascii="Palatino Linotype" w:hAnsi="Palatino Linotype"/>
              <w:b/>
              <w:noProof/>
              <w:sz w:val="24"/>
              <w:szCs w:val="24"/>
            </w:rPr>
            <w:instrText xml:space="preserve"> TOC \o "1-3" \h \z \u </w:instrText>
          </w:r>
          <w:r w:rsidRPr="00DA75A2">
            <w:rPr>
              <w:rFonts w:ascii="Palatino Linotype" w:hAnsi="Palatino Linotype"/>
              <w:b/>
              <w:noProof/>
              <w:sz w:val="24"/>
              <w:szCs w:val="24"/>
            </w:rPr>
            <w:fldChar w:fldCharType="separate"/>
          </w:r>
          <w:hyperlink w:anchor="_Toc535858036" w:history="1">
            <w:r w:rsidR="00146D8F" w:rsidRPr="004438E9">
              <w:rPr>
                <w:rStyle w:val="Hipervnculo"/>
                <w:rFonts w:ascii="Palatino Linotype" w:eastAsia="Times New Roman" w:hAnsi="Palatino Linotype" w:cstheme="majorBidi"/>
                <w:b/>
                <w:noProof/>
              </w:rPr>
              <w:t>I.</w:t>
            </w:r>
            <w:r w:rsidR="00146D8F">
              <w:rPr>
                <w:noProof/>
              </w:rPr>
              <w:tab/>
            </w:r>
            <w:r w:rsidR="00146D8F" w:rsidRPr="004438E9">
              <w:rPr>
                <w:rStyle w:val="Hipervnculo"/>
                <w:rFonts w:ascii="Palatino Linotype" w:eastAsia="Times New Roman" w:hAnsi="Palatino Linotype" w:cstheme="majorBidi"/>
                <w:b/>
                <w:noProof/>
              </w:rPr>
              <w:t>Consideraciones Generales</w:t>
            </w:r>
            <w:r w:rsidR="00146D8F">
              <w:rPr>
                <w:noProof/>
                <w:webHidden/>
              </w:rPr>
              <w:tab/>
            </w:r>
            <w:r w:rsidR="00146D8F">
              <w:rPr>
                <w:noProof/>
                <w:webHidden/>
              </w:rPr>
              <w:fldChar w:fldCharType="begin"/>
            </w:r>
            <w:r w:rsidR="00146D8F">
              <w:rPr>
                <w:noProof/>
                <w:webHidden/>
              </w:rPr>
              <w:instrText xml:space="preserve"> PAGEREF _Toc535858036 \h </w:instrText>
            </w:r>
            <w:r w:rsidR="00146D8F">
              <w:rPr>
                <w:noProof/>
                <w:webHidden/>
              </w:rPr>
            </w:r>
            <w:r w:rsidR="00146D8F">
              <w:rPr>
                <w:noProof/>
                <w:webHidden/>
              </w:rPr>
              <w:fldChar w:fldCharType="separate"/>
            </w:r>
            <w:r w:rsidR="00071313">
              <w:rPr>
                <w:noProof/>
                <w:webHidden/>
              </w:rPr>
              <w:t>1</w:t>
            </w:r>
            <w:r w:rsidR="00146D8F">
              <w:rPr>
                <w:noProof/>
                <w:webHidden/>
              </w:rPr>
              <w:fldChar w:fldCharType="end"/>
            </w:r>
          </w:hyperlink>
        </w:p>
        <w:p w:rsidR="00146D8F" w:rsidRDefault="00607CD7">
          <w:pPr>
            <w:pStyle w:val="TDC1"/>
            <w:tabs>
              <w:tab w:val="left" w:pos="660"/>
              <w:tab w:val="right" w:leader="dot" w:pos="8828"/>
            </w:tabs>
            <w:rPr>
              <w:noProof/>
            </w:rPr>
          </w:pPr>
          <w:hyperlink w:anchor="_Toc535858037" w:history="1">
            <w:r w:rsidR="00146D8F" w:rsidRPr="004438E9">
              <w:rPr>
                <w:rStyle w:val="Hipervnculo"/>
                <w:rFonts w:ascii="Palatino Linotype" w:eastAsia="Calibri" w:hAnsi="Palatino Linotype" w:cstheme="majorBidi"/>
                <w:b/>
                <w:noProof/>
                <w:lang w:val="es-ES"/>
              </w:rPr>
              <w:t>II.</w:t>
            </w:r>
            <w:r w:rsidR="00146D8F">
              <w:rPr>
                <w:noProof/>
              </w:rPr>
              <w:tab/>
            </w:r>
            <w:r w:rsidR="00146D8F" w:rsidRPr="004438E9">
              <w:rPr>
                <w:rStyle w:val="Hipervnculo"/>
                <w:rFonts w:ascii="Palatino Linotype" w:eastAsia="Calibri" w:hAnsi="Palatino Linotype" w:cstheme="majorBidi"/>
                <w:b/>
                <w:noProof/>
                <w:lang w:val="es-ES"/>
              </w:rPr>
              <w:t>De los requerimientos planteados en el recurso de revisión.</w:t>
            </w:r>
            <w:r w:rsidR="00146D8F">
              <w:rPr>
                <w:noProof/>
                <w:webHidden/>
              </w:rPr>
              <w:tab/>
            </w:r>
            <w:r w:rsidR="00146D8F">
              <w:rPr>
                <w:noProof/>
                <w:webHidden/>
              </w:rPr>
              <w:fldChar w:fldCharType="begin"/>
            </w:r>
            <w:r w:rsidR="00146D8F">
              <w:rPr>
                <w:noProof/>
                <w:webHidden/>
              </w:rPr>
              <w:instrText xml:space="preserve"> PAGEREF _Toc535858037 \h </w:instrText>
            </w:r>
            <w:r w:rsidR="00146D8F">
              <w:rPr>
                <w:noProof/>
                <w:webHidden/>
              </w:rPr>
            </w:r>
            <w:r w:rsidR="00146D8F">
              <w:rPr>
                <w:noProof/>
                <w:webHidden/>
              </w:rPr>
              <w:fldChar w:fldCharType="separate"/>
            </w:r>
            <w:r w:rsidR="00071313">
              <w:rPr>
                <w:noProof/>
                <w:webHidden/>
              </w:rPr>
              <w:t>2</w:t>
            </w:r>
            <w:r w:rsidR="00146D8F">
              <w:rPr>
                <w:noProof/>
                <w:webHidden/>
              </w:rPr>
              <w:fldChar w:fldCharType="end"/>
            </w:r>
          </w:hyperlink>
        </w:p>
        <w:p w:rsidR="00146D8F" w:rsidRDefault="00607CD7">
          <w:pPr>
            <w:pStyle w:val="TDC1"/>
            <w:tabs>
              <w:tab w:val="right" w:leader="dot" w:pos="8828"/>
            </w:tabs>
            <w:rPr>
              <w:noProof/>
            </w:rPr>
          </w:pPr>
          <w:hyperlink w:anchor="_Toc535858038" w:history="1">
            <w:r w:rsidR="00146D8F" w:rsidRPr="004438E9">
              <w:rPr>
                <w:rStyle w:val="Hipervnculo"/>
                <w:rFonts w:ascii="Palatino Linotype" w:eastAsia="Calibri" w:hAnsi="Palatino Linotype" w:cstheme="majorBidi"/>
                <w:b/>
                <w:noProof/>
              </w:rPr>
              <w:t>V. Conclusión.</w:t>
            </w:r>
            <w:r w:rsidR="00146D8F">
              <w:rPr>
                <w:noProof/>
                <w:webHidden/>
              </w:rPr>
              <w:tab/>
            </w:r>
            <w:r w:rsidR="00146D8F">
              <w:rPr>
                <w:noProof/>
                <w:webHidden/>
              </w:rPr>
              <w:fldChar w:fldCharType="begin"/>
            </w:r>
            <w:r w:rsidR="00146D8F">
              <w:rPr>
                <w:noProof/>
                <w:webHidden/>
              </w:rPr>
              <w:instrText xml:space="preserve"> PAGEREF _Toc535858038 \h </w:instrText>
            </w:r>
            <w:r w:rsidR="00146D8F">
              <w:rPr>
                <w:noProof/>
                <w:webHidden/>
              </w:rPr>
            </w:r>
            <w:r w:rsidR="00146D8F">
              <w:rPr>
                <w:noProof/>
                <w:webHidden/>
              </w:rPr>
              <w:fldChar w:fldCharType="separate"/>
            </w:r>
            <w:r w:rsidR="00071313">
              <w:rPr>
                <w:noProof/>
                <w:webHidden/>
              </w:rPr>
              <w:t>9</w:t>
            </w:r>
            <w:r w:rsidR="00146D8F">
              <w:rPr>
                <w:noProof/>
                <w:webHidden/>
              </w:rPr>
              <w:fldChar w:fldCharType="end"/>
            </w:r>
          </w:hyperlink>
        </w:p>
        <w:p w:rsidR="00071313" w:rsidRDefault="00DA75A2" w:rsidP="00DA75A2">
          <w:pPr>
            <w:spacing w:line="360" w:lineRule="auto"/>
            <w:rPr>
              <w:rFonts w:ascii="Palatino Linotype" w:hAnsi="Palatino Linotype"/>
              <w:b/>
              <w:bCs/>
              <w:sz w:val="24"/>
              <w:szCs w:val="24"/>
              <w:lang w:val="es-ES"/>
            </w:rPr>
          </w:pPr>
          <w:r w:rsidRPr="00DA75A2">
            <w:rPr>
              <w:rFonts w:ascii="Palatino Linotype" w:hAnsi="Palatino Linotype"/>
              <w:b/>
              <w:bCs/>
              <w:sz w:val="24"/>
              <w:szCs w:val="24"/>
              <w:lang w:val="es-ES"/>
            </w:rPr>
            <w:fldChar w:fldCharType="end"/>
          </w:r>
        </w:p>
        <w:p w:rsidR="00DA75A2" w:rsidRPr="00DA75A2" w:rsidRDefault="00607CD7" w:rsidP="00DA75A2">
          <w:pPr>
            <w:spacing w:line="360" w:lineRule="auto"/>
            <w:rPr>
              <w:rFonts w:ascii="Palatino Linotype" w:hAnsi="Palatino Linotype"/>
              <w:sz w:val="24"/>
              <w:szCs w:val="24"/>
            </w:rPr>
          </w:pPr>
        </w:p>
      </w:sdtContent>
    </w:sdt>
    <w:p w:rsidR="00DA75A2" w:rsidRPr="00DA75A2" w:rsidRDefault="00DA75A2" w:rsidP="00DA75A2"/>
    <w:p w:rsidR="00DA75A2" w:rsidRPr="00DA75A2" w:rsidRDefault="00DA75A2" w:rsidP="00DA75A2">
      <w:pPr>
        <w:keepNext/>
        <w:keepLines/>
        <w:numPr>
          <w:ilvl w:val="0"/>
          <w:numId w:val="2"/>
        </w:numPr>
        <w:spacing w:before="240" w:after="0"/>
        <w:outlineLvl w:val="0"/>
        <w:rPr>
          <w:rFonts w:ascii="Palatino Linotype" w:eastAsia="Times New Roman" w:hAnsi="Palatino Linotype" w:cstheme="majorBidi"/>
          <w:b/>
          <w:sz w:val="24"/>
          <w:szCs w:val="24"/>
        </w:rPr>
      </w:pPr>
      <w:bookmarkStart w:id="0" w:name="_Toc535858036"/>
      <w:r w:rsidRPr="00DA75A2">
        <w:rPr>
          <w:rFonts w:ascii="Palatino Linotype" w:eastAsia="Times New Roman" w:hAnsi="Palatino Linotype" w:cstheme="majorBidi"/>
          <w:b/>
          <w:sz w:val="24"/>
          <w:szCs w:val="24"/>
        </w:rPr>
        <w:t>Consideraciones Generales</w:t>
      </w:r>
      <w:bookmarkEnd w:id="0"/>
    </w:p>
    <w:p w:rsidR="00DA75A2" w:rsidRDefault="00DA75A2" w:rsidP="00DA75A2">
      <w:pPr>
        <w:tabs>
          <w:tab w:val="left" w:pos="440"/>
          <w:tab w:val="left" w:pos="880"/>
          <w:tab w:val="right" w:leader="dot" w:pos="8828"/>
        </w:tabs>
        <w:spacing w:after="100"/>
        <w:jc w:val="both"/>
        <w:rPr>
          <w:rFonts w:ascii="Palatino Linotype" w:hAnsi="Palatino Linotype"/>
          <w:b/>
          <w:noProof/>
          <w:sz w:val="24"/>
          <w:szCs w:val="24"/>
          <w:lang w:val="es-ES"/>
        </w:rPr>
      </w:pPr>
    </w:p>
    <w:p w:rsidR="00071313" w:rsidRPr="00DA75A2" w:rsidRDefault="00071313" w:rsidP="00DA75A2">
      <w:pPr>
        <w:tabs>
          <w:tab w:val="left" w:pos="440"/>
          <w:tab w:val="left" w:pos="880"/>
          <w:tab w:val="right" w:leader="dot" w:pos="8828"/>
        </w:tabs>
        <w:spacing w:after="100"/>
        <w:jc w:val="both"/>
        <w:rPr>
          <w:rFonts w:ascii="Palatino Linotype" w:hAnsi="Palatino Linotype"/>
          <w:b/>
          <w:noProof/>
          <w:sz w:val="24"/>
          <w:szCs w:val="24"/>
          <w:lang w:val="es-ES"/>
        </w:rPr>
      </w:pPr>
    </w:p>
    <w:p w:rsidR="00DA75A2" w:rsidRPr="00DA75A2" w:rsidRDefault="00DA75A2" w:rsidP="00DA75A2">
      <w:pPr>
        <w:spacing w:after="0" w:line="360" w:lineRule="auto"/>
        <w:jc w:val="both"/>
        <w:rPr>
          <w:rFonts w:ascii="Palatino Linotype" w:eastAsia="Calibri" w:hAnsi="Palatino Linotype" w:cs="Arial"/>
          <w:b/>
          <w:bCs/>
          <w:sz w:val="24"/>
          <w:szCs w:val="24"/>
          <w:lang w:eastAsia="es-MX"/>
        </w:rPr>
      </w:pPr>
      <w:r w:rsidRPr="00DA75A2">
        <w:rPr>
          <w:rFonts w:ascii="Palatino Linotype" w:eastAsia="Times New Roman" w:hAnsi="Palatino Linotype" w:cs="Arial"/>
          <w:sz w:val="24"/>
          <w:szCs w:val="24"/>
          <w:lang w:val="es-ES_tradnl"/>
        </w:rPr>
        <w:t xml:space="preserve">He concurrido con mi voto particular de la presente resolución emitida </w:t>
      </w:r>
      <w:r w:rsidRPr="00DA75A2">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Segunda Sesión Ordinaria celebrada el día dieciséis (16) de enero del dos mil diecinueve, en el </w:t>
      </w:r>
      <w:r w:rsidRPr="00DA75A2">
        <w:rPr>
          <w:rFonts w:ascii="Palatino Linotype" w:eastAsia="Calibri" w:hAnsi="Palatino Linotype" w:cs="Arial"/>
          <w:sz w:val="24"/>
          <w:szCs w:val="24"/>
        </w:rPr>
        <w:lastRenderedPageBreak/>
        <w:t>recurso de revisión interpuesto por</w:t>
      </w:r>
      <w:r w:rsidR="00EB009B" w:rsidRPr="00EB009B">
        <w:rPr>
          <w:rFonts w:ascii="Palatino Linotype" w:hAnsi="Palatino Linotype" w:cs="Arial"/>
          <w:b/>
        </w:rPr>
        <w:t xml:space="preserve"> </w:t>
      </w:r>
      <w:r w:rsidR="00607CD7" w:rsidRPr="00607CD7">
        <w:rPr>
          <w:rFonts w:ascii="Palatino Linotype" w:hAnsi="Palatino Linotype" w:cs="Arial"/>
          <w:b/>
          <w:sz w:val="24"/>
          <w:szCs w:val="24"/>
          <w:highlight w:val="black"/>
        </w:rPr>
        <w:t>---------------------------</w:t>
      </w:r>
      <w:r w:rsidR="00EB009B">
        <w:rPr>
          <w:rFonts w:ascii="Palatino Linotype" w:eastAsia="Calibri" w:hAnsi="Palatino Linotype" w:cs="Arial"/>
          <w:sz w:val="24"/>
          <w:szCs w:val="24"/>
        </w:rPr>
        <w:t>en contra de la respuesta</w:t>
      </w:r>
      <w:r w:rsidRPr="00DA75A2">
        <w:rPr>
          <w:rFonts w:ascii="Palatino Linotype" w:eastAsia="Calibri" w:hAnsi="Palatino Linotype" w:cs="Arial"/>
          <w:sz w:val="24"/>
          <w:szCs w:val="24"/>
        </w:rPr>
        <w:t xml:space="preserve"> </w:t>
      </w:r>
      <w:r w:rsidR="00EB009B" w:rsidRPr="00EB009B">
        <w:rPr>
          <w:rFonts w:ascii="Palatino Linotype" w:hAnsi="Palatino Linotype" w:cs="Arial"/>
          <w:sz w:val="24"/>
          <w:szCs w:val="24"/>
        </w:rPr>
        <w:t xml:space="preserve">de la </w:t>
      </w:r>
      <w:r w:rsidR="00EB009B" w:rsidRPr="00EB009B">
        <w:rPr>
          <w:rFonts w:ascii="Palatino Linotype" w:hAnsi="Palatino Linotype" w:cs="Arial"/>
          <w:b/>
          <w:sz w:val="24"/>
          <w:szCs w:val="24"/>
        </w:rPr>
        <w:t>Universidad Politécnica del Valle de Toluca</w:t>
      </w:r>
      <w:r w:rsidRPr="00EB009B">
        <w:rPr>
          <w:rFonts w:ascii="Palatino Linotype" w:hAnsi="Palatino Linotype" w:cs="Arial"/>
          <w:sz w:val="24"/>
          <w:szCs w:val="24"/>
        </w:rPr>
        <w:t>,</w:t>
      </w:r>
      <w:r w:rsidRPr="00DA75A2">
        <w:rPr>
          <w:rFonts w:ascii="Palatino Linotype" w:eastAsia="Calibri" w:hAnsi="Palatino Linotype" w:cs="Arial"/>
          <w:sz w:val="24"/>
          <w:szCs w:val="24"/>
        </w:rPr>
        <w:t xml:space="preserve"> </w:t>
      </w:r>
      <w:r w:rsidRPr="00DA75A2">
        <w:rPr>
          <w:rFonts w:ascii="Palatino Linotype" w:hAnsi="Palatino Linotype" w:cs="Arial"/>
          <w:b/>
        </w:rPr>
        <w:t xml:space="preserve"> </w:t>
      </w:r>
      <w:r w:rsidRPr="00DA75A2">
        <w:rPr>
          <w:rFonts w:ascii="Palatino Linotype" w:eastAsia="Calibri" w:hAnsi="Palatino Linotype" w:cs="Arial"/>
          <w:sz w:val="24"/>
          <w:szCs w:val="24"/>
        </w:rPr>
        <w:t xml:space="preserve">procedimiento que le fue asignado el número de expediente </w:t>
      </w:r>
      <w:r w:rsidR="00EB009B" w:rsidRPr="00EB009B">
        <w:rPr>
          <w:rFonts w:ascii="Palatino Linotype" w:hAnsi="Palatino Linotype" w:cs="Arial"/>
          <w:b/>
          <w:bCs/>
          <w:sz w:val="24"/>
          <w:szCs w:val="24"/>
        </w:rPr>
        <w:t>04144</w:t>
      </w:r>
      <w:r w:rsidRPr="00EB009B">
        <w:rPr>
          <w:rFonts w:ascii="Palatino Linotype" w:hAnsi="Palatino Linotype" w:cs="Arial"/>
          <w:b/>
          <w:bCs/>
          <w:sz w:val="24"/>
          <w:szCs w:val="24"/>
        </w:rPr>
        <w:t>/INFOEM/IP/RR/2018.</w:t>
      </w:r>
    </w:p>
    <w:p w:rsidR="00DA75A2" w:rsidRPr="00DA75A2" w:rsidRDefault="00DA75A2" w:rsidP="00DA75A2">
      <w:pPr>
        <w:spacing w:after="0" w:line="360" w:lineRule="auto"/>
        <w:contextualSpacing/>
        <w:jc w:val="both"/>
        <w:rPr>
          <w:rFonts w:ascii="Palatino Linotype" w:eastAsia="Calibri" w:hAnsi="Palatino Linotype" w:cs="Arial"/>
          <w:sz w:val="24"/>
          <w:szCs w:val="24"/>
        </w:rPr>
      </w:pPr>
    </w:p>
    <w:p w:rsidR="00DA75A2" w:rsidRPr="00DA75A2" w:rsidRDefault="00DA75A2" w:rsidP="00EB009B">
      <w:pPr>
        <w:numPr>
          <w:ilvl w:val="0"/>
          <w:numId w:val="1"/>
        </w:numPr>
        <w:spacing w:after="0" w:line="360" w:lineRule="auto"/>
        <w:ind w:left="0" w:firstLine="0"/>
        <w:contextualSpacing/>
        <w:jc w:val="both"/>
        <w:rPr>
          <w:rFonts w:ascii="Palatino Linotype" w:eastAsia="Calibri" w:hAnsi="Palatino Linotype" w:cs="Arial"/>
          <w:sz w:val="24"/>
          <w:szCs w:val="24"/>
        </w:rPr>
      </w:pPr>
      <w:r w:rsidRPr="00DA75A2">
        <w:rPr>
          <w:rFonts w:ascii="Palatino Linotype" w:eastAsia="Calibri" w:hAnsi="Palatino Linotype" w:cs="Arial"/>
          <w:sz w:val="24"/>
          <w:szCs w:val="24"/>
        </w:rPr>
        <w:t xml:space="preserve">La resolución puntualmente determina </w:t>
      </w:r>
      <w:r w:rsidRPr="00DA75A2">
        <w:rPr>
          <w:rFonts w:ascii="Palatino Linotype" w:eastAsia="Calibri" w:hAnsi="Palatino Linotype" w:cs="Arial"/>
          <w:b/>
          <w:sz w:val="24"/>
          <w:szCs w:val="24"/>
        </w:rPr>
        <w:t>MODIFICAR</w:t>
      </w:r>
      <w:r w:rsidRPr="00DA75A2">
        <w:rPr>
          <w:rFonts w:ascii="Palatino Linotype" w:eastAsia="Calibri" w:hAnsi="Palatino Linotype" w:cs="Arial"/>
          <w:sz w:val="24"/>
          <w:szCs w:val="24"/>
        </w:rPr>
        <w:t xml:space="preserve"> el recurso de revisión, tomando en consideración la respuesta del Sujeto Obligado.</w:t>
      </w:r>
    </w:p>
    <w:p w:rsidR="00DA75A2" w:rsidRPr="00DA75A2" w:rsidRDefault="00DA75A2" w:rsidP="00EB009B">
      <w:pPr>
        <w:spacing w:after="0" w:line="360" w:lineRule="auto"/>
        <w:contextualSpacing/>
        <w:jc w:val="both"/>
        <w:rPr>
          <w:rFonts w:ascii="Palatino Linotype" w:eastAsia="Calibri" w:hAnsi="Palatino Linotype" w:cs="Arial"/>
          <w:sz w:val="24"/>
          <w:szCs w:val="24"/>
        </w:rPr>
      </w:pPr>
    </w:p>
    <w:p w:rsidR="00DA75A2" w:rsidRPr="00EB009B" w:rsidRDefault="00DA75A2" w:rsidP="00EB009B">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DA75A2">
        <w:rPr>
          <w:rFonts w:ascii="Palatino Linotype" w:eastAsia="Calibri" w:hAnsi="Palatino Linotype" w:cs="Arial"/>
          <w:sz w:val="24"/>
          <w:szCs w:val="24"/>
        </w:rPr>
        <w:t>Estando de acuerdo con la resolución formulada por el comisionado ponente, mi voto particular se deriva del</w:t>
      </w:r>
      <w:r w:rsidRPr="00DA75A2">
        <w:rPr>
          <w:rFonts w:ascii="Palatino Linotype" w:hAnsi="Palatino Linotype" w:cs="Arial"/>
          <w:sz w:val="24"/>
          <w:szCs w:val="24"/>
        </w:rPr>
        <w:t xml:space="preserve"> hecho de que se haya </w:t>
      </w:r>
      <w:r w:rsidR="00EB009B">
        <w:rPr>
          <w:rFonts w:ascii="Palatino Linotype" w:hAnsi="Palatino Linotype" w:cs="Arial"/>
          <w:sz w:val="24"/>
          <w:szCs w:val="24"/>
        </w:rPr>
        <w:t xml:space="preserve">ordenado al </w:t>
      </w:r>
      <w:r w:rsidR="00EB009B" w:rsidRPr="00EB009B">
        <w:rPr>
          <w:rFonts w:ascii="Palatino Linotype" w:eastAsia="Calibri" w:hAnsi="Palatino Linotype" w:cs="Arial"/>
          <w:b/>
          <w:sz w:val="24"/>
          <w:szCs w:val="24"/>
        </w:rPr>
        <w:t>SUJETO OBLIGADO</w:t>
      </w:r>
      <w:r w:rsidR="00EB009B" w:rsidRPr="00EB009B">
        <w:rPr>
          <w:rFonts w:ascii="Palatino Linotype" w:eastAsia="Calibri" w:hAnsi="Palatino Linotype" w:cs="Arial"/>
          <w:sz w:val="24"/>
          <w:szCs w:val="24"/>
        </w:rPr>
        <w:t xml:space="preserve"> </w:t>
      </w:r>
      <w:r w:rsidR="00EB009B">
        <w:rPr>
          <w:rFonts w:ascii="Palatino Linotype" w:hAnsi="Palatino Linotype" w:cs="Arial"/>
          <w:sz w:val="24"/>
          <w:szCs w:val="24"/>
        </w:rPr>
        <w:t>entregar los nombres de los servidores públicos de los juicios laborales que se encuentren definitivamente concluidos y el laudo hubiese sido favorable a ellos.</w:t>
      </w:r>
    </w:p>
    <w:p w:rsidR="00EB009B" w:rsidRDefault="00EB009B" w:rsidP="00EB009B">
      <w:pPr>
        <w:pStyle w:val="Prrafodelista"/>
        <w:rPr>
          <w:rFonts w:ascii="Palatino Linotype" w:eastAsia="Calibri" w:hAnsi="Palatino Linotype" w:cs="Arial"/>
          <w:sz w:val="24"/>
          <w:szCs w:val="24"/>
          <w:lang w:val="es-ES"/>
        </w:rPr>
      </w:pPr>
    </w:p>
    <w:p w:rsidR="00DA75A2" w:rsidRPr="00DA75A2" w:rsidRDefault="00DA75A2" w:rsidP="00EB009B">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DA75A2">
        <w:rPr>
          <w:rFonts w:ascii="Palatino Linotype" w:eastAsia="Calibri" w:hAnsi="Palatino Linotype" w:cs="Arial"/>
          <w:sz w:val="24"/>
          <w:szCs w:val="24"/>
          <w:lang w:val="es-ES"/>
        </w:rPr>
        <w:t>Por</w:t>
      </w:r>
      <w:r w:rsidRPr="00DA75A2">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DA75A2" w:rsidRPr="00DA75A2" w:rsidRDefault="00DA75A2" w:rsidP="00DA75A2">
      <w:pPr>
        <w:contextualSpacing/>
        <w:rPr>
          <w:rFonts w:ascii="Palatino Linotype" w:eastAsia="Calibri" w:hAnsi="Palatino Linotype" w:cs="Arial"/>
          <w:sz w:val="24"/>
          <w:szCs w:val="24"/>
          <w:lang w:val="es-ES"/>
        </w:rPr>
      </w:pPr>
    </w:p>
    <w:p w:rsidR="00DA75A2" w:rsidRDefault="00DA75A2" w:rsidP="00EB009B">
      <w:pPr>
        <w:keepNext/>
        <w:keepLines/>
        <w:numPr>
          <w:ilvl w:val="0"/>
          <w:numId w:val="2"/>
        </w:numPr>
        <w:spacing w:before="240" w:after="0"/>
        <w:ind w:left="709"/>
        <w:outlineLvl w:val="0"/>
        <w:rPr>
          <w:rFonts w:ascii="Palatino Linotype" w:eastAsia="Calibri" w:hAnsi="Palatino Linotype" w:cstheme="majorBidi"/>
          <w:b/>
          <w:sz w:val="24"/>
          <w:szCs w:val="24"/>
          <w:lang w:val="es-ES"/>
        </w:rPr>
      </w:pPr>
      <w:bookmarkStart w:id="1" w:name="_Toc535858037"/>
      <w:r w:rsidRPr="00DA75A2">
        <w:rPr>
          <w:rFonts w:ascii="Palatino Linotype" w:eastAsia="Calibri" w:hAnsi="Palatino Linotype" w:cstheme="majorBidi"/>
          <w:b/>
          <w:sz w:val="24"/>
          <w:szCs w:val="24"/>
          <w:lang w:val="es-ES"/>
        </w:rPr>
        <w:t>De los requerimientos planteados en el recurso de revisión.</w:t>
      </w:r>
      <w:bookmarkEnd w:id="1"/>
    </w:p>
    <w:p w:rsidR="00EB009B" w:rsidRPr="00DA75A2" w:rsidRDefault="00EB009B" w:rsidP="00EB009B">
      <w:pPr>
        <w:keepNext/>
        <w:keepLines/>
        <w:spacing w:before="240" w:after="0"/>
        <w:ind w:left="709"/>
        <w:outlineLvl w:val="0"/>
        <w:rPr>
          <w:rFonts w:ascii="Palatino Linotype" w:eastAsia="Calibri" w:hAnsi="Palatino Linotype" w:cstheme="majorBidi"/>
          <w:b/>
          <w:sz w:val="24"/>
          <w:szCs w:val="24"/>
          <w:lang w:val="es-ES"/>
        </w:rPr>
      </w:pPr>
    </w:p>
    <w:p w:rsidR="00DA75A2" w:rsidRPr="00DA75A2" w:rsidRDefault="00DA75A2" w:rsidP="00DA75A2">
      <w:pPr>
        <w:contextualSpacing/>
        <w:rPr>
          <w:rFonts w:ascii="Palatino Linotype" w:eastAsia="Calibri" w:hAnsi="Palatino Linotype" w:cs="Arial"/>
          <w:sz w:val="24"/>
          <w:szCs w:val="24"/>
          <w:lang w:val="es-ES"/>
        </w:rPr>
      </w:pPr>
    </w:p>
    <w:p w:rsidR="00DA75A2" w:rsidRPr="00DA75A2" w:rsidRDefault="00DA75A2" w:rsidP="00EB009B">
      <w:pPr>
        <w:numPr>
          <w:ilvl w:val="0"/>
          <w:numId w:val="1"/>
        </w:numPr>
        <w:spacing w:line="360" w:lineRule="auto"/>
        <w:ind w:left="0" w:right="49" w:firstLine="0"/>
        <w:contextualSpacing/>
        <w:jc w:val="both"/>
        <w:rPr>
          <w:rFonts w:ascii="Palatino Linotype" w:eastAsia="Times New Roman" w:hAnsi="Palatino Linotype" w:cs="Times New Roman"/>
          <w:i/>
          <w:lang w:val="es-ES_tradnl" w:eastAsia="es-ES"/>
        </w:rPr>
      </w:pPr>
      <w:r w:rsidRPr="00DA75A2">
        <w:rPr>
          <w:rFonts w:ascii="Palatino Linotype" w:eastAsia="Calibri" w:hAnsi="Palatino Linotype" w:cs="Arial"/>
          <w:sz w:val="24"/>
          <w:szCs w:val="24"/>
          <w:lang w:val="es-ES"/>
        </w:rPr>
        <w:t xml:space="preserve">En </w:t>
      </w:r>
      <w:r w:rsidRPr="00DA75A2">
        <w:rPr>
          <w:rFonts w:ascii="Palatino Linotype" w:eastAsia="Calibri" w:hAnsi="Palatino Linotype" w:cs="Times New Roman"/>
          <w:sz w:val="24"/>
          <w:szCs w:val="24"/>
        </w:rPr>
        <w:t xml:space="preserve">ejercicio del derecho constitucional que le asiste a la particular, formuló una solicitud de información dirigida hacia </w:t>
      </w:r>
      <w:r w:rsidR="00EB009B" w:rsidRPr="00EB009B">
        <w:rPr>
          <w:rFonts w:ascii="Palatino Linotype" w:hAnsi="Palatino Linotype" w:cs="Arial"/>
          <w:sz w:val="24"/>
          <w:szCs w:val="24"/>
        </w:rPr>
        <w:t xml:space="preserve">la </w:t>
      </w:r>
      <w:r w:rsidR="00EB009B" w:rsidRPr="00EB009B">
        <w:rPr>
          <w:rFonts w:ascii="Palatino Linotype" w:hAnsi="Palatino Linotype" w:cs="Arial"/>
          <w:b/>
          <w:sz w:val="24"/>
          <w:szCs w:val="24"/>
        </w:rPr>
        <w:t>Universidad Politécnica del Valle de Toluca</w:t>
      </w:r>
      <w:r w:rsidRPr="00EB009B">
        <w:rPr>
          <w:rFonts w:ascii="Palatino Linotype" w:hAnsi="Palatino Linotype" w:cs="Arial"/>
          <w:b/>
          <w:sz w:val="24"/>
          <w:szCs w:val="24"/>
        </w:rPr>
        <w:t>,</w:t>
      </w:r>
      <w:r w:rsidRPr="00EB009B">
        <w:rPr>
          <w:rFonts w:ascii="Palatino Linotype" w:hAnsi="Palatino Linotype" w:cs="Arial"/>
          <w:sz w:val="24"/>
          <w:szCs w:val="24"/>
        </w:rPr>
        <w:t xml:space="preserve"> </w:t>
      </w:r>
      <w:r w:rsidRPr="00EB009B">
        <w:rPr>
          <w:rFonts w:ascii="Palatino Linotype" w:eastAsia="Calibri" w:hAnsi="Palatino Linotype" w:cs="Times New Roman"/>
          <w:sz w:val="24"/>
          <w:szCs w:val="24"/>
        </w:rPr>
        <w:t>en dicha solicitud planteó lo siguiente:</w:t>
      </w:r>
      <w:r w:rsidRPr="00DA75A2">
        <w:rPr>
          <w:rFonts w:ascii="Palatino Linotype" w:hAnsi="Palatino Linotype"/>
          <w:i/>
          <w:lang w:val="es-ES_tradnl"/>
        </w:rPr>
        <w:t xml:space="preserve"> </w:t>
      </w:r>
    </w:p>
    <w:p w:rsidR="00DA75A2" w:rsidRPr="00DA75A2" w:rsidRDefault="00DA75A2" w:rsidP="00DA75A2">
      <w:pPr>
        <w:spacing w:line="360" w:lineRule="auto"/>
        <w:ind w:left="360" w:right="49"/>
        <w:contextualSpacing/>
        <w:jc w:val="both"/>
        <w:rPr>
          <w:rFonts w:ascii="Palatino Linotype" w:eastAsia="Times New Roman" w:hAnsi="Palatino Linotype" w:cs="Times New Roman"/>
          <w:i/>
          <w:lang w:val="es-ES_tradnl" w:eastAsia="es-ES"/>
        </w:rPr>
      </w:pPr>
    </w:p>
    <w:p w:rsidR="00657481" w:rsidRPr="00657481" w:rsidRDefault="00DA75A2" w:rsidP="00071313">
      <w:pPr>
        <w:autoSpaceDE w:val="0"/>
        <w:autoSpaceDN w:val="0"/>
        <w:adjustRightInd w:val="0"/>
        <w:spacing w:line="360" w:lineRule="auto"/>
        <w:ind w:left="360" w:right="616"/>
        <w:contextualSpacing/>
        <w:jc w:val="both"/>
        <w:rPr>
          <w:rFonts w:ascii="Palatino Linotype" w:hAnsi="Palatino Linotype"/>
          <w:i/>
          <w:lang w:val="es-ES"/>
        </w:rPr>
      </w:pPr>
      <w:r w:rsidRPr="00DA75A2">
        <w:rPr>
          <w:rFonts w:ascii="Palatino Linotype" w:hAnsi="Palatino Linotype" w:cs="Arial"/>
          <w:i/>
        </w:rPr>
        <w:t>“</w:t>
      </w:r>
      <w:r w:rsidR="00657481" w:rsidRPr="00657481">
        <w:rPr>
          <w:rFonts w:ascii="Palatino Linotype" w:hAnsi="Palatino Linotype"/>
          <w:b/>
          <w:i/>
          <w:u w:val="single"/>
          <w:lang w:val="es-ES"/>
        </w:rPr>
        <w:t>Servidores públicos que han demandado</w:t>
      </w:r>
      <w:r w:rsidR="00657481" w:rsidRPr="00657481">
        <w:rPr>
          <w:rFonts w:ascii="Palatino Linotype" w:hAnsi="Palatino Linotype"/>
          <w:i/>
          <w:lang w:val="es-ES"/>
        </w:rPr>
        <w:t xml:space="preserve"> laboralmente a la universidad y </w:t>
      </w:r>
      <w:proofErr w:type="spellStart"/>
      <w:r w:rsidR="00657481" w:rsidRPr="00657481">
        <w:rPr>
          <w:rFonts w:ascii="Palatino Linotype" w:hAnsi="Palatino Linotype"/>
          <w:i/>
          <w:lang w:val="es-ES"/>
        </w:rPr>
        <w:t>cual</w:t>
      </w:r>
      <w:proofErr w:type="spellEnd"/>
      <w:r w:rsidR="00657481" w:rsidRPr="00657481">
        <w:rPr>
          <w:rFonts w:ascii="Palatino Linotype" w:hAnsi="Palatino Linotype"/>
          <w:i/>
          <w:lang w:val="es-ES"/>
        </w:rPr>
        <w:t xml:space="preserve"> es el </w:t>
      </w:r>
      <w:r w:rsidR="00657481" w:rsidRPr="00657481">
        <w:rPr>
          <w:rFonts w:ascii="Palatino Linotype" w:hAnsi="Palatino Linotype"/>
          <w:b/>
          <w:i/>
          <w:u w:val="single"/>
          <w:lang w:val="es-ES"/>
        </w:rPr>
        <w:t>estatus del juicio</w:t>
      </w:r>
      <w:r w:rsidR="00657481" w:rsidRPr="00657481">
        <w:rPr>
          <w:rFonts w:ascii="Palatino Linotype" w:hAnsi="Palatino Linotype"/>
          <w:i/>
          <w:lang w:val="es-ES"/>
        </w:rPr>
        <w:t xml:space="preserve">, esto </w:t>
      </w:r>
      <w:r w:rsidR="00657481" w:rsidRPr="00657481">
        <w:rPr>
          <w:rFonts w:ascii="Palatino Linotype" w:hAnsi="Palatino Linotype"/>
          <w:b/>
          <w:i/>
          <w:u w:val="single"/>
          <w:lang w:val="es-ES"/>
        </w:rPr>
        <w:t>desde 2006 al día de hoy</w:t>
      </w:r>
      <w:r w:rsidR="00657481" w:rsidRPr="00657481">
        <w:rPr>
          <w:rFonts w:ascii="Palatino Linotype" w:hAnsi="Palatino Linotype"/>
          <w:i/>
          <w:lang w:val="es-ES"/>
        </w:rPr>
        <w:t>.” (</w:t>
      </w:r>
      <w:proofErr w:type="gramStart"/>
      <w:r w:rsidR="00657481" w:rsidRPr="00657481">
        <w:rPr>
          <w:rFonts w:ascii="Palatino Linotype" w:hAnsi="Palatino Linotype"/>
          <w:i/>
          <w:lang w:val="es-ES"/>
        </w:rPr>
        <w:t>sic</w:t>
      </w:r>
      <w:proofErr w:type="gramEnd"/>
      <w:r w:rsidR="00657481" w:rsidRPr="00657481">
        <w:rPr>
          <w:rFonts w:ascii="Palatino Linotype" w:hAnsi="Palatino Linotype"/>
          <w:i/>
          <w:lang w:val="es-ES"/>
        </w:rPr>
        <w:t>)</w:t>
      </w:r>
    </w:p>
    <w:p w:rsidR="00DA75A2" w:rsidRPr="00DA75A2" w:rsidRDefault="00657481" w:rsidP="00657481">
      <w:pPr>
        <w:autoSpaceDE w:val="0"/>
        <w:autoSpaceDN w:val="0"/>
        <w:adjustRightInd w:val="0"/>
        <w:ind w:left="360" w:right="616"/>
        <w:contextualSpacing/>
        <w:jc w:val="both"/>
        <w:rPr>
          <w:rFonts w:ascii="Palatino Linotype" w:hAnsi="Palatino Linotype" w:cs="Arial"/>
          <w:i/>
        </w:rPr>
      </w:pPr>
      <w:r w:rsidRPr="00657481">
        <w:rPr>
          <w:rFonts w:ascii="Palatino Linotype" w:hAnsi="Palatino Linotype"/>
          <w:i/>
          <w:lang w:val="es-ES"/>
        </w:rPr>
        <w:t>Énfasis añadido</w:t>
      </w:r>
      <w:r w:rsidR="00DA75A2" w:rsidRPr="00DA75A2">
        <w:rPr>
          <w:rFonts w:ascii="Palatino Linotype" w:hAnsi="Palatino Linotype" w:cs="Arial"/>
          <w:i/>
        </w:rPr>
        <w:t>” (sic)</w:t>
      </w:r>
    </w:p>
    <w:p w:rsidR="00DA75A2" w:rsidRPr="00DA75A2" w:rsidRDefault="00DA75A2" w:rsidP="00DA75A2">
      <w:pPr>
        <w:spacing w:line="360" w:lineRule="auto"/>
        <w:ind w:left="360" w:right="49"/>
        <w:contextualSpacing/>
        <w:jc w:val="both"/>
        <w:rPr>
          <w:rFonts w:ascii="Palatino Linotype" w:eastAsia="Times New Roman" w:hAnsi="Palatino Linotype" w:cs="Times New Roman"/>
          <w:i/>
          <w:lang w:val="es-ES_tradnl" w:eastAsia="es-ES"/>
        </w:rPr>
      </w:pPr>
    </w:p>
    <w:p w:rsidR="00DA75A2" w:rsidRPr="00657481" w:rsidRDefault="00657481" w:rsidP="00657481">
      <w:pPr>
        <w:pStyle w:val="Prrafodelista"/>
        <w:numPr>
          <w:ilvl w:val="0"/>
          <w:numId w:val="1"/>
        </w:numPr>
        <w:spacing w:before="120" w:after="120" w:line="360" w:lineRule="auto"/>
        <w:ind w:left="0" w:right="49" w:firstLine="0"/>
        <w:jc w:val="both"/>
        <w:rPr>
          <w:rFonts w:ascii="Palatino Linotype" w:eastAsia="Calibri" w:hAnsi="Palatino Linotype" w:cs="Arial"/>
          <w:i/>
          <w:sz w:val="24"/>
          <w:szCs w:val="24"/>
        </w:rPr>
      </w:pPr>
      <w:r w:rsidRPr="00657481">
        <w:rPr>
          <w:rFonts w:ascii="Palatino Linotype" w:hAnsi="Palatino Linotype" w:cs="Arial"/>
          <w:sz w:val="24"/>
          <w:szCs w:val="24"/>
        </w:rPr>
        <w:t xml:space="preserve"> </w:t>
      </w:r>
      <w:r w:rsidR="00DA75A2" w:rsidRPr="00657481">
        <w:rPr>
          <w:rFonts w:ascii="Palatino Linotype" w:hAnsi="Palatino Linotype" w:cs="Arial"/>
          <w:sz w:val="24"/>
          <w:szCs w:val="24"/>
        </w:rPr>
        <w:t>El Sujeto Obligado en respuesta adjuntó diversos archivos electrónicos los cuales refiere en lo medular lo siguiente:</w:t>
      </w:r>
    </w:p>
    <w:p w:rsidR="00657481" w:rsidRPr="00657481" w:rsidRDefault="00657481" w:rsidP="00657481">
      <w:pPr>
        <w:pStyle w:val="Prrafodelista"/>
        <w:tabs>
          <w:tab w:val="left" w:pos="8364"/>
        </w:tabs>
        <w:spacing w:before="120" w:after="120" w:line="360" w:lineRule="auto"/>
        <w:ind w:left="0" w:right="49"/>
        <w:jc w:val="both"/>
        <w:rPr>
          <w:rFonts w:ascii="Palatino Linotype" w:eastAsia="Calibri" w:hAnsi="Palatino Linotype" w:cs="Arial"/>
          <w:i/>
          <w:sz w:val="24"/>
          <w:szCs w:val="24"/>
        </w:rPr>
      </w:pPr>
    </w:p>
    <w:p w:rsidR="00657481" w:rsidRPr="00223A19" w:rsidRDefault="00657481" w:rsidP="00657481">
      <w:pPr>
        <w:pStyle w:val="Prrafodelista"/>
        <w:numPr>
          <w:ilvl w:val="0"/>
          <w:numId w:val="10"/>
        </w:numPr>
        <w:spacing w:before="240" w:after="240" w:line="360" w:lineRule="auto"/>
        <w:ind w:left="284" w:right="616" w:firstLine="0"/>
        <w:contextualSpacing w:val="0"/>
        <w:jc w:val="both"/>
        <w:rPr>
          <w:rFonts w:ascii="Palatino Linotype" w:hAnsi="Palatino Linotype" w:cs="Arial"/>
          <w:bCs/>
          <w:color w:val="333333"/>
        </w:rPr>
      </w:pPr>
      <w:r w:rsidRPr="00223A19">
        <w:rPr>
          <w:rFonts w:ascii="Palatino Linotype" w:hAnsi="Palatino Linotype" w:cs="Arial"/>
        </w:rPr>
        <w:t>Archivo “</w:t>
      </w:r>
      <w:hyperlink r:id="rId8" w:tgtFrame="_blank" w:history="1">
        <w:r w:rsidRPr="00223A19">
          <w:rPr>
            <w:rStyle w:val="Hipervnculo"/>
            <w:rFonts w:ascii="Palatino Linotype" w:hAnsi="Palatino Linotype" w:cs="Arial"/>
            <w:b/>
            <w:bCs/>
            <w:color w:val="67C19D"/>
          </w:rPr>
          <w:t>saimex1314daf.pdf</w:t>
        </w:r>
      </w:hyperlink>
      <w:r w:rsidRPr="00223A19">
        <w:rPr>
          <w:rFonts w:ascii="Palatino Linotype" w:hAnsi="Palatino Linotype" w:cs="Arial"/>
          <w:b/>
          <w:bCs/>
          <w:color w:val="333333"/>
        </w:rPr>
        <w:t>”</w:t>
      </w:r>
      <w:r w:rsidRPr="00223A19">
        <w:rPr>
          <w:rFonts w:ascii="Palatino Linotype" w:hAnsi="Palatino Linotype" w:cs="Arial"/>
          <w:bCs/>
          <w:color w:val="333333"/>
        </w:rPr>
        <w:t>, contiene el oficio número UPVT 205BL14000/722/2018 por medio del cual el Director de Administración y Finanzas informa al Titular de la Unidad de Transparencia del Sujeto Obligado que una vez realizada una búsqueda exhaustiva y razonable en los archivos de la Dirección de Administración y Finanzas no tiene, no ha generado, no posee información y no hay evidencia de documentos relacionados con la solicitud del impetrante, lo anterior de acuerdo a las funciones asignadas a la Dirección en comento, mismas que están establecidas en el artículo 11 del Reglamento Interior de la Universidad Politécnica del Valle de Toluca y en el apartado VII “Objetivo y funciones por unidad administrativa” del Manual General de Organización.</w:t>
      </w:r>
    </w:p>
    <w:p w:rsidR="00657481" w:rsidRDefault="00657481" w:rsidP="00657481">
      <w:pPr>
        <w:pStyle w:val="Prrafodelista"/>
        <w:spacing w:before="240" w:after="240" w:line="360" w:lineRule="auto"/>
        <w:ind w:left="284" w:right="616"/>
        <w:jc w:val="both"/>
        <w:rPr>
          <w:rFonts w:ascii="Palatino Linotype" w:hAnsi="Palatino Linotype" w:cs="Arial"/>
        </w:rPr>
      </w:pPr>
      <w:r w:rsidRPr="00223A19">
        <w:rPr>
          <w:rFonts w:ascii="Palatino Linotype" w:hAnsi="Palatino Linotype" w:cs="Arial"/>
        </w:rPr>
        <w:t xml:space="preserve">Agregando que conforme a lo establecido en el Manual General de Organización en comento, se aprecia que dentro de las funciones del Departamento de recursos Humanos y Materiales está a la de aplicar y vigilar el cumplimiento de las disposiciones legales, convenios y contratos que rijan las relaciones entre la </w:t>
      </w:r>
      <w:r w:rsidRPr="00223A19">
        <w:rPr>
          <w:rFonts w:ascii="Palatino Linotype" w:hAnsi="Palatino Linotype" w:cs="Arial"/>
        </w:rPr>
        <w:lastRenderedPageBreak/>
        <w:t>Universidad, los servidores públicos y prestadores de servicios, razón por la cual no tiene la información requerida por el impetrante.</w:t>
      </w:r>
    </w:p>
    <w:p w:rsidR="00657481" w:rsidRPr="00223A19" w:rsidRDefault="00657481" w:rsidP="00657481">
      <w:pPr>
        <w:pStyle w:val="Prrafodelista"/>
        <w:spacing w:before="240" w:after="240" w:line="360" w:lineRule="auto"/>
        <w:ind w:left="284" w:right="616"/>
        <w:jc w:val="both"/>
        <w:rPr>
          <w:rFonts w:ascii="Palatino Linotype" w:hAnsi="Palatino Linotype" w:cs="Arial"/>
          <w:bCs/>
          <w:color w:val="333333"/>
        </w:rPr>
      </w:pPr>
    </w:p>
    <w:p w:rsidR="00657481" w:rsidRPr="00223A19" w:rsidRDefault="00657481" w:rsidP="00657481">
      <w:pPr>
        <w:pStyle w:val="Prrafodelista"/>
        <w:numPr>
          <w:ilvl w:val="0"/>
          <w:numId w:val="10"/>
        </w:numPr>
        <w:spacing w:before="240" w:after="240" w:line="360" w:lineRule="auto"/>
        <w:ind w:left="284" w:right="616" w:firstLine="0"/>
        <w:contextualSpacing w:val="0"/>
        <w:jc w:val="both"/>
        <w:rPr>
          <w:rFonts w:ascii="Palatino Linotype" w:hAnsi="Palatino Linotype" w:cs="Arial"/>
          <w:b/>
          <w:bCs/>
          <w:color w:val="333333"/>
        </w:rPr>
      </w:pPr>
      <w:r w:rsidRPr="00223A19">
        <w:rPr>
          <w:rFonts w:ascii="Palatino Linotype" w:hAnsi="Palatino Linotype" w:cs="Arial"/>
          <w:bCs/>
          <w:color w:val="333333"/>
        </w:rPr>
        <w:t xml:space="preserve">Archivo </w:t>
      </w:r>
      <w:r w:rsidRPr="00223A19">
        <w:rPr>
          <w:rFonts w:ascii="Palatino Linotype" w:hAnsi="Palatino Linotype" w:cs="Arial"/>
          <w:b/>
          <w:bCs/>
          <w:color w:val="333333"/>
        </w:rPr>
        <w:t>“</w:t>
      </w:r>
      <w:hyperlink r:id="rId9" w:tgtFrame="_blank" w:history="1">
        <w:r w:rsidRPr="00223A19">
          <w:rPr>
            <w:rStyle w:val="Hipervnculo"/>
            <w:rFonts w:ascii="Palatino Linotype" w:hAnsi="Palatino Linotype" w:cs="Arial"/>
            <w:b/>
            <w:bCs/>
            <w:color w:val="67C19D"/>
          </w:rPr>
          <w:t>01314UPVTIP2018.pdf</w:t>
        </w:r>
      </w:hyperlink>
      <w:r w:rsidRPr="00223A19">
        <w:rPr>
          <w:rFonts w:ascii="Palatino Linotype" w:hAnsi="Palatino Linotype"/>
        </w:rPr>
        <w:t>”, contiene el oficio número 205BL14002/1006/2018 a través del cual la Jefa del Departamento de Recursos Humanos y Materiales informa que con fundamento en</w:t>
      </w:r>
      <w:r w:rsidRPr="00223A19">
        <w:rPr>
          <w:rFonts w:ascii="Palatino Linotype" w:hAnsi="Palatino Linotype"/>
          <w:bCs/>
          <w:lang w:val="es-ES"/>
        </w:rPr>
        <w:t xml:space="preserve"> el apartado VII “Objetivo y funciones por unidad administrativa” del Manual General de Organización</w:t>
      </w:r>
      <w:r w:rsidRPr="00223A19">
        <w:rPr>
          <w:rFonts w:ascii="Palatino Linotype" w:hAnsi="Palatino Linotype"/>
        </w:rPr>
        <w:t xml:space="preserve"> de la Universidad Politécnica del Valle de Toluca y derivado de una búsqueda exhaustiva y razonable en los archivos de la unidad administrativa en comento, proporciona un listado de los juicios laborales presentados en contra del Sujeto Obligado.</w:t>
      </w:r>
    </w:p>
    <w:p w:rsidR="00657481" w:rsidRPr="00223A19" w:rsidRDefault="00657481" w:rsidP="00657481">
      <w:pPr>
        <w:pStyle w:val="Prrafodelista"/>
        <w:numPr>
          <w:ilvl w:val="0"/>
          <w:numId w:val="10"/>
        </w:numPr>
        <w:spacing w:before="240" w:after="240" w:line="360" w:lineRule="auto"/>
        <w:ind w:left="284" w:right="616" w:firstLine="0"/>
        <w:contextualSpacing w:val="0"/>
        <w:jc w:val="both"/>
        <w:rPr>
          <w:rFonts w:ascii="Palatino Linotype" w:hAnsi="Palatino Linotype" w:cs="Arial"/>
          <w:b/>
          <w:bCs/>
          <w:color w:val="333333"/>
        </w:rPr>
      </w:pPr>
      <w:r w:rsidRPr="00223A19">
        <w:rPr>
          <w:rFonts w:ascii="Palatino Linotype" w:hAnsi="Palatino Linotype"/>
        </w:rPr>
        <w:t>Archivo “</w:t>
      </w:r>
      <w:hyperlink r:id="rId10" w:tgtFrame="_blank" w:history="1">
        <w:r w:rsidRPr="00223A19">
          <w:rPr>
            <w:rStyle w:val="Hipervnculo"/>
            <w:rFonts w:ascii="Palatino Linotype" w:hAnsi="Palatino Linotype" w:cs="Arial"/>
            <w:b/>
            <w:bCs/>
            <w:color w:val="67C19D"/>
          </w:rPr>
          <w:t>SOLICITANTE DE LA INFORMACIÓN SOL 01314.pdf</w:t>
        </w:r>
      </w:hyperlink>
      <w:r w:rsidRPr="00223A19">
        <w:rPr>
          <w:rFonts w:ascii="Palatino Linotype" w:hAnsi="Palatino Linotype"/>
        </w:rPr>
        <w:t>”, contiene el</w:t>
      </w:r>
      <w:r>
        <w:rPr>
          <w:rFonts w:ascii="Palatino Linotype" w:hAnsi="Palatino Linotype"/>
        </w:rPr>
        <w:t xml:space="preserve"> oficio número 205BL16001/2854/2018 por medio del cual el Titular de la Unidad de Transparencia del Sujeto Obligado informa al solicitante que en relación a la solicitud materia del presente recurso de revisión, encontrara en archivo adjunto copia digitalizada de los oficios emitidos por los servidores públicos habilitados del Departamento de Recursos Humanos y Materiales y la Dirección de administración y Finanzas.</w:t>
      </w:r>
      <w:r w:rsidRPr="00223A19">
        <w:rPr>
          <w:rFonts w:ascii="Palatino Linotype" w:hAnsi="Palatino Linotype"/>
        </w:rPr>
        <w:t xml:space="preserve"> </w:t>
      </w:r>
    </w:p>
    <w:p w:rsidR="00B1684D" w:rsidRDefault="00DA75A2" w:rsidP="00B1684D">
      <w:pPr>
        <w:numPr>
          <w:ilvl w:val="0"/>
          <w:numId w:val="1"/>
        </w:numPr>
        <w:spacing w:before="120" w:after="120" w:line="360" w:lineRule="auto"/>
        <w:ind w:left="0" w:right="49" w:firstLine="0"/>
        <w:contextualSpacing/>
        <w:jc w:val="both"/>
        <w:rPr>
          <w:rFonts w:ascii="Palatino Linotype" w:eastAsia="Calibri" w:hAnsi="Palatino Linotype" w:cs="Arial"/>
          <w:sz w:val="24"/>
          <w:szCs w:val="24"/>
        </w:rPr>
      </w:pPr>
      <w:r w:rsidRPr="00DA75A2">
        <w:rPr>
          <w:rFonts w:ascii="Palatino Linotype" w:eastAsia="Calibri" w:hAnsi="Palatino Linotype" w:cs="Arial"/>
          <w:sz w:val="24"/>
          <w:szCs w:val="24"/>
        </w:rPr>
        <w:t>Luego entonces la particular refirió como acto impugnado “</w:t>
      </w:r>
      <w:r w:rsidR="00657481" w:rsidRPr="00657481">
        <w:rPr>
          <w:rFonts w:ascii="Palatino Linotype" w:eastAsia="Calibri" w:hAnsi="Palatino Linotype" w:cs="Arial"/>
          <w:i/>
          <w:sz w:val="24"/>
          <w:szCs w:val="24"/>
          <w:lang w:val="es-ES"/>
        </w:rPr>
        <w:t>Niegan información</w:t>
      </w:r>
      <w:r w:rsidRPr="00DA75A2">
        <w:rPr>
          <w:rFonts w:ascii="Palatino Linotype" w:hAnsi="Palatino Linotype"/>
          <w:i/>
          <w:sz w:val="24"/>
          <w:szCs w:val="24"/>
        </w:rPr>
        <w:t xml:space="preserve">” </w:t>
      </w:r>
      <w:r w:rsidRPr="00DA75A2">
        <w:rPr>
          <w:rFonts w:ascii="Palatino Linotype" w:hAnsi="Palatino Linotype"/>
          <w:sz w:val="24"/>
          <w:szCs w:val="24"/>
        </w:rPr>
        <w:t>y como motivos de inconformidad “</w:t>
      </w:r>
      <w:r w:rsidR="00657481" w:rsidRPr="00657481">
        <w:rPr>
          <w:rFonts w:ascii="Palatino Linotype" w:hAnsi="Palatino Linotype"/>
          <w:i/>
          <w:sz w:val="24"/>
          <w:szCs w:val="24"/>
          <w:lang w:val="es-ES"/>
        </w:rPr>
        <w:t>No informan los servidores públicos que han demandado</w:t>
      </w:r>
      <w:r w:rsidRPr="00DA75A2">
        <w:rPr>
          <w:rFonts w:ascii="Palatino Linotype" w:hAnsi="Palatino Linotype"/>
          <w:i/>
          <w:sz w:val="24"/>
          <w:szCs w:val="24"/>
          <w:lang w:val="es-ES"/>
        </w:rPr>
        <w:t>”</w:t>
      </w:r>
    </w:p>
    <w:p w:rsidR="00B1684D" w:rsidRDefault="00B1684D" w:rsidP="00B1684D">
      <w:pPr>
        <w:spacing w:before="120" w:after="120" w:line="360" w:lineRule="auto"/>
        <w:ind w:right="49"/>
        <w:contextualSpacing/>
        <w:jc w:val="both"/>
        <w:rPr>
          <w:rFonts w:ascii="Palatino Linotype" w:eastAsia="Calibri" w:hAnsi="Palatino Linotype" w:cs="Arial"/>
          <w:sz w:val="24"/>
          <w:szCs w:val="24"/>
        </w:rPr>
      </w:pPr>
    </w:p>
    <w:p w:rsidR="00CC6AF5" w:rsidRPr="00071313" w:rsidRDefault="00DA75A2" w:rsidP="00B1684D">
      <w:pPr>
        <w:numPr>
          <w:ilvl w:val="0"/>
          <w:numId w:val="1"/>
        </w:numPr>
        <w:spacing w:before="120" w:after="120" w:line="360" w:lineRule="auto"/>
        <w:ind w:left="0" w:right="49" w:firstLine="0"/>
        <w:contextualSpacing/>
        <w:jc w:val="both"/>
        <w:rPr>
          <w:rFonts w:ascii="Palatino Linotype" w:eastAsia="Calibri" w:hAnsi="Palatino Linotype" w:cs="Arial"/>
          <w:sz w:val="24"/>
          <w:szCs w:val="24"/>
        </w:rPr>
      </w:pPr>
      <w:r w:rsidRPr="00B1684D">
        <w:rPr>
          <w:rFonts w:ascii="Palatino Linotype" w:hAnsi="Palatino Linotype" w:cs="Arial"/>
          <w:sz w:val="24"/>
          <w:szCs w:val="24"/>
        </w:rPr>
        <w:lastRenderedPageBreak/>
        <w:t>En el presente asunto que nos ocupa, es de señalar que del análisis hecho a la resolución en comento</w:t>
      </w:r>
      <w:r w:rsidRPr="00B1684D">
        <w:rPr>
          <w:rFonts w:ascii="Palatino Linotype" w:eastAsia="Calibri" w:hAnsi="Palatino Linotype" w:cs="Times New Roman"/>
          <w:sz w:val="24"/>
          <w:szCs w:val="24"/>
          <w:lang w:val="es-ES" w:eastAsia="es-ES"/>
        </w:rPr>
        <w:t xml:space="preserve">, no se discute que el </w:t>
      </w:r>
      <w:r w:rsidRPr="00B1684D">
        <w:rPr>
          <w:rFonts w:ascii="Palatino Linotype" w:eastAsia="Calibri" w:hAnsi="Palatino Linotype" w:cs="Times New Roman"/>
          <w:b/>
          <w:sz w:val="24"/>
          <w:szCs w:val="24"/>
          <w:lang w:val="es-ES" w:eastAsia="es-ES"/>
        </w:rPr>
        <w:t>SUJETO OBLIGADO</w:t>
      </w:r>
      <w:r w:rsidRPr="00B1684D">
        <w:rPr>
          <w:rFonts w:ascii="Palatino Linotype" w:eastAsia="Calibri" w:hAnsi="Palatino Linotype" w:cs="Times New Roman"/>
          <w:sz w:val="24"/>
          <w:szCs w:val="24"/>
          <w:lang w:val="es-ES" w:eastAsia="es-ES"/>
        </w:rPr>
        <w:t xml:space="preserve"> haya dado respuesta a la solicitud de información en lo particular, </w:t>
      </w:r>
      <w:r w:rsidR="00657481" w:rsidRPr="00B1684D">
        <w:rPr>
          <w:rFonts w:ascii="Palatino Linotype" w:eastAsia="Calibri" w:hAnsi="Palatino Linotype" w:cs="Times New Roman"/>
          <w:sz w:val="24"/>
          <w:szCs w:val="24"/>
          <w:lang w:val="es-ES" w:eastAsia="es-ES"/>
        </w:rPr>
        <w:t xml:space="preserve">sin embargo la ponencia </w:t>
      </w:r>
      <w:proofErr w:type="spellStart"/>
      <w:r w:rsidR="00657481" w:rsidRPr="00B1684D">
        <w:rPr>
          <w:rFonts w:ascii="Palatino Linotype" w:eastAsia="Calibri" w:hAnsi="Palatino Linotype" w:cs="Times New Roman"/>
          <w:sz w:val="24"/>
          <w:szCs w:val="24"/>
          <w:lang w:val="es-ES" w:eastAsia="es-ES"/>
        </w:rPr>
        <w:t>Resolutora</w:t>
      </w:r>
      <w:proofErr w:type="spellEnd"/>
      <w:r w:rsidR="00657481" w:rsidRPr="00B1684D">
        <w:rPr>
          <w:rFonts w:ascii="Palatino Linotype" w:eastAsia="Calibri" w:hAnsi="Palatino Linotype" w:cs="Times New Roman"/>
          <w:sz w:val="24"/>
          <w:szCs w:val="24"/>
          <w:lang w:val="es-ES" w:eastAsia="es-ES"/>
        </w:rPr>
        <w:t xml:space="preserve"> determinó en su análisis realizado que derivado de la respuesta que se emitió el Departamento de Recursos Humanos y Materiales quien proporcionó un listado de los juicios laborales existentes en contra del Sujeto Obligado</w:t>
      </w:r>
      <w:r w:rsidR="00CC6AF5" w:rsidRPr="00B1684D">
        <w:rPr>
          <w:rFonts w:ascii="Palatino Linotype" w:eastAsia="Calibri" w:hAnsi="Palatino Linotype" w:cs="Times New Roman"/>
          <w:sz w:val="24"/>
          <w:szCs w:val="24"/>
          <w:lang w:val="es-ES" w:eastAsia="es-ES"/>
        </w:rPr>
        <w:t xml:space="preserve">, se invocó el </w:t>
      </w:r>
      <w:r w:rsidR="00CC6AF5" w:rsidRPr="00B1684D">
        <w:rPr>
          <w:rFonts w:ascii="Palatino Linotype" w:eastAsia="Times New Roman" w:hAnsi="Palatino Linotype" w:cs="Arial"/>
          <w:sz w:val="24"/>
          <w:szCs w:val="24"/>
          <w:lang w:val="es-ES" w:eastAsia="es-ES"/>
        </w:rPr>
        <w:t xml:space="preserve">Criterio 028-10, emitido por el Pleno </w:t>
      </w:r>
      <w:r w:rsidR="00CC6AF5" w:rsidRPr="00B1684D">
        <w:rPr>
          <w:rFonts w:ascii="Palatino Linotype" w:eastAsia="Arial Unicode MS" w:hAnsi="Palatino Linotype" w:cs="Arial"/>
          <w:bCs/>
          <w:sz w:val="24"/>
          <w:szCs w:val="24"/>
          <w:lang w:val="es-ES" w:eastAsia="es-ES"/>
        </w:rPr>
        <w:t xml:space="preserve">del anteriormente denominado </w:t>
      </w:r>
      <w:r w:rsidR="00CC6AF5" w:rsidRPr="00B1684D">
        <w:rPr>
          <w:rFonts w:ascii="Palatino Linotype" w:eastAsia="Arial Unicode MS" w:hAnsi="Palatino Linotype" w:cs="Times New Roman"/>
          <w:bCs/>
          <w:sz w:val="24"/>
          <w:szCs w:val="24"/>
          <w:lang w:val="es-ES" w:eastAsia="es-ES"/>
        </w:rPr>
        <w:t xml:space="preserve">Instituto Federal de Acceso a la Información y Protección de Datos, </w:t>
      </w:r>
      <w:r w:rsidR="00CC6AF5" w:rsidRPr="00B1684D">
        <w:rPr>
          <w:rFonts w:ascii="Palatino Linotype" w:eastAsia="Arial Unicode MS" w:hAnsi="Palatino Linotype" w:cs="Arial"/>
          <w:bCs/>
          <w:sz w:val="24"/>
          <w:szCs w:val="24"/>
          <w:lang w:val="es-ES" w:eastAsia="es-ES"/>
        </w:rPr>
        <w:t>ahora Instituto Nacional de Transparencia, Acceso a la Información y Protección de Datos Personales</w:t>
      </w:r>
      <w:r w:rsidR="00CC6AF5" w:rsidRPr="00B1684D">
        <w:rPr>
          <w:rFonts w:ascii="Palatino Linotype" w:eastAsia="Times New Roman" w:hAnsi="Palatino Linotype" w:cs="Times New Roman"/>
          <w:bCs/>
          <w:sz w:val="24"/>
          <w:szCs w:val="24"/>
          <w:lang w:val="es-ES" w:eastAsia="es-ES"/>
        </w:rPr>
        <w:t>, que establece:</w:t>
      </w:r>
    </w:p>
    <w:p w:rsidR="00071313" w:rsidRDefault="00071313" w:rsidP="00071313">
      <w:pPr>
        <w:pStyle w:val="Prrafodelista"/>
        <w:rPr>
          <w:rFonts w:ascii="Palatino Linotype" w:eastAsia="Calibri" w:hAnsi="Palatino Linotype" w:cs="Arial"/>
          <w:sz w:val="24"/>
          <w:szCs w:val="24"/>
        </w:rPr>
      </w:pPr>
    </w:p>
    <w:p w:rsidR="00071313" w:rsidRPr="00B1684D" w:rsidRDefault="00071313" w:rsidP="00071313">
      <w:pPr>
        <w:spacing w:before="120" w:after="120" w:line="360" w:lineRule="auto"/>
        <w:ind w:right="49"/>
        <w:contextualSpacing/>
        <w:jc w:val="both"/>
        <w:rPr>
          <w:rFonts w:ascii="Palatino Linotype" w:eastAsia="Calibri" w:hAnsi="Palatino Linotype" w:cs="Arial"/>
          <w:sz w:val="24"/>
          <w:szCs w:val="24"/>
        </w:rPr>
      </w:pPr>
    </w:p>
    <w:p w:rsidR="00CC6AF5" w:rsidRDefault="00CC6AF5" w:rsidP="00071313">
      <w:pPr>
        <w:tabs>
          <w:tab w:val="left" w:pos="7230"/>
        </w:tabs>
        <w:autoSpaceDE w:val="0"/>
        <w:autoSpaceDN w:val="0"/>
        <w:adjustRightInd w:val="0"/>
        <w:spacing w:before="120" w:after="120" w:line="360" w:lineRule="auto"/>
        <w:ind w:left="284" w:right="616"/>
        <w:jc w:val="both"/>
        <w:rPr>
          <w:rFonts w:ascii="Palatino Linotype" w:eastAsia="Times New Roman" w:hAnsi="Palatino Linotype" w:cs="Arial"/>
          <w:i/>
          <w:lang w:val="es-ES" w:eastAsia="es-ES"/>
        </w:rPr>
      </w:pPr>
      <w:r w:rsidRPr="00CC6AF5">
        <w:rPr>
          <w:rFonts w:ascii="Palatino Linotype" w:eastAsia="Times New Roman" w:hAnsi="Palatino Linotype" w:cs="Arial"/>
          <w:i/>
          <w:lang w:val="es-ES" w:eastAsia="es-ES"/>
        </w:rPr>
        <w:t xml:space="preserve">“Cuando en una solicitud de información no se identifique un documento en específico, si ésta tiene una expresión documental, el sujeto obligado deberá entregar al particular el documento en específico.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w:t>
      </w:r>
      <w:r w:rsidRPr="00CC6AF5">
        <w:rPr>
          <w:rFonts w:ascii="Palatino Linotype" w:eastAsia="Times New Roman" w:hAnsi="Palatino Linotype" w:cs="Arial"/>
          <w:i/>
          <w:lang w:val="es-ES" w:eastAsia="es-ES"/>
        </w:rPr>
        <w:lastRenderedPageBreak/>
        <w:t>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solicitante.”(Sic)</w:t>
      </w:r>
    </w:p>
    <w:p w:rsidR="00CC6AF5" w:rsidRDefault="00CC6AF5" w:rsidP="00CC6AF5">
      <w:pPr>
        <w:autoSpaceDE w:val="0"/>
        <w:autoSpaceDN w:val="0"/>
        <w:adjustRightInd w:val="0"/>
        <w:spacing w:before="120" w:after="120" w:line="240" w:lineRule="auto"/>
        <w:ind w:left="992" w:right="1327"/>
        <w:jc w:val="both"/>
        <w:rPr>
          <w:rFonts w:ascii="Palatino Linotype" w:eastAsia="Times New Roman" w:hAnsi="Palatino Linotype" w:cs="Arial"/>
          <w:b/>
          <w:sz w:val="24"/>
          <w:szCs w:val="24"/>
          <w:lang w:eastAsia="es-ES"/>
        </w:rPr>
      </w:pPr>
    </w:p>
    <w:p w:rsidR="00071313" w:rsidRPr="00CC6AF5" w:rsidRDefault="00071313" w:rsidP="00CC6AF5">
      <w:pPr>
        <w:autoSpaceDE w:val="0"/>
        <w:autoSpaceDN w:val="0"/>
        <w:adjustRightInd w:val="0"/>
        <w:spacing w:before="120" w:after="120" w:line="240" w:lineRule="auto"/>
        <w:ind w:left="992" w:right="1327"/>
        <w:jc w:val="both"/>
        <w:rPr>
          <w:rFonts w:ascii="Palatino Linotype" w:eastAsia="Times New Roman" w:hAnsi="Palatino Linotype" w:cs="Arial"/>
          <w:b/>
          <w:sz w:val="24"/>
          <w:szCs w:val="24"/>
          <w:lang w:eastAsia="es-ES"/>
        </w:rPr>
      </w:pPr>
    </w:p>
    <w:p w:rsidR="00657481" w:rsidRDefault="00CC6AF5" w:rsidP="00657481">
      <w:pPr>
        <w:numPr>
          <w:ilvl w:val="0"/>
          <w:numId w:val="1"/>
        </w:numPr>
        <w:autoSpaceDE w:val="0"/>
        <w:autoSpaceDN w:val="0"/>
        <w:adjustRightInd w:val="0"/>
        <w:spacing w:before="240" w:after="0" w:line="360" w:lineRule="auto"/>
        <w:ind w:left="0" w:right="49"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Luego entonces, se refiere que </w:t>
      </w:r>
      <w:r w:rsidRPr="00CC6AF5">
        <w:rPr>
          <w:rFonts w:ascii="Palatino Linotype" w:eastAsia="Calibri" w:hAnsi="Palatino Linotype" w:cs="Times New Roman"/>
          <w:sz w:val="24"/>
          <w:szCs w:val="24"/>
          <w:lang w:val="es-ES" w:eastAsia="es-ES"/>
        </w:rPr>
        <w:t>el Sujeto Obligado, en estricta aplicación a lo dispuesto en el artículo 12 segundo párrafo, sólo tiene el deber de entregar la información solicitada, en los términos en que la hubiese generado, posea o administre; esto es, no tiene la obligación jurídica de procesarla, resumirla, realizar cálculos o investigaciones, en su intensión de satisfacer el derecho de acceso a la información pública del recurrente</w:t>
      </w:r>
      <w:r>
        <w:rPr>
          <w:rFonts w:ascii="Palatino Linotype" w:eastAsia="Calibri" w:hAnsi="Palatino Linotype" w:cs="Times New Roman"/>
          <w:sz w:val="24"/>
          <w:szCs w:val="24"/>
          <w:lang w:val="es-ES" w:eastAsia="es-ES"/>
        </w:rPr>
        <w:t>.</w:t>
      </w:r>
    </w:p>
    <w:p w:rsidR="00CC6AF5" w:rsidRDefault="00CC6AF5" w:rsidP="00CC6AF5">
      <w:pPr>
        <w:autoSpaceDE w:val="0"/>
        <w:autoSpaceDN w:val="0"/>
        <w:adjustRightInd w:val="0"/>
        <w:spacing w:before="240" w:after="0" w:line="360" w:lineRule="auto"/>
        <w:ind w:right="49"/>
        <w:contextualSpacing/>
        <w:jc w:val="both"/>
        <w:rPr>
          <w:rFonts w:ascii="Palatino Linotype" w:eastAsia="Calibri" w:hAnsi="Palatino Linotype" w:cs="Times New Roman"/>
          <w:sz w:val="24"/>
          <w:szCs w:val="24"/>
          <w:lang w:val="es-ES" w:eastAsia="es-ES"/>
        </w:rPr>
      </w:pPr>
    </w:p>
    <w:p w:rsidR="00CC6AF5" w:rsidRPr="00CC6AF5" w:rsidRDefault="00CC6AF5" w:rsidP="00657481">
      <w:pPr>
        <w:numPr>
          <w:ilvl w:val="0"/>
          <w:numId w:val="1"/>
        </w:numPr>
        <w:autoSpaceDE w:val="0"/>
        <w:autoSpaceDN w:val="0"/>
        <w:adjustRightInd w:val="0"/>
        <w:spacing w:before="240" w:after="0" w:line="360" w:lineRule="auto"/>
        <w:ind w:left="0" w:right="49"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En ese mismo sentido es referido el criterio </w:t>
      </w:r>
      <w:r w:rsidRPr="00CC6AF5">
        <w:rPr>
          <w:rFonts w:ascii="Palatino Linotype" w:eastAsia="Calibri" w:hAnsi="Palatino Linotype" w:cs="Times New Roman"/>
          <w:sz w:val="24"/>
          <w:szCs w:val="24"/>
          <w:lang w:val="es-ES" w:eastAsia="es-ES"/>
        </w:rPr>
        <w:t>31-10 emitido por el entonces Instituto Federal de Acceso a la Información y Protección de Datos</w:t>
      </w:r>
      <w:r>
        <w:rPr>
          <w:rFonts w:ascii="Palatino Linotype" w:eastAsia="Calibri" w:hAnsi="Palatino Linotype" w:cs="Times New Roman"/>
          <w:sz w:val="24"/>
          <w:szCs w:val="24"/>
          <w:lang w:val="es-ES" w:eastAsia="es-ES"/>
        </w:rPr>
        <w:t xml:space="preserve">, que corresponde a la falta de </w:t>
      </w:r>
      <w:r w:rsidRPr="00CC6AF5">
        <w:rPr>
          <w:rFonts w:ascii="Palatino Linotype" w:eastAsia="Calibri" w:hAnsi="Palatino Linotype" w:cs="Times New Roman"/>
          <w:sz w:val="24"/>
          <w:szCs w:val="24"/>
          <w:lang w:val="es-ES" w:eastAsia="es-ES"/>
        </w:rPr>
        <w:t>facultades para pronunciarse respecto de la veracidad de los documentos proporcionados por los sujetos obligado</w:t>
      </w:r>
      <w:r>
        <w:rPr>
          <w:rFonts w:ascii="Palatino Linotype" w:eastAsia="Calibri" w:hAnsi="Palatino Linotype" w:cs="Times New Roman"/>
          <w:sz w:val="24"/>
          <w:szCs w:val="24"/>
          <w:lang w:val="es-ES" w:eastAsia="es-ES"/>
        </w:rPr>
        <w:t xml:space="preserve">. Por lo tanto se determinó que la respuesta que se emitió no fue completa al no </w:t>
      </w:r>
      <w:r>
        <w:rPr>
          <w:rFonts w:ascii="Palatino Linotype" w:hAnsi="Palatino Linotype" w:cs="Arial Narrow"/>
          <w:sz w:val="24"/>
          <w:szCs w:val="24"/>
        </w:rPr>
        <w:t>proporcionar</w:t>
      </w:r>
      <w:r w:rsidRPr="00A35836">
        <w:rPr>
          <w:rFonts w:ascii="Palatino Linotype" w:hAnsi="Palatino Linotype" w:cs="Arial Narrow"/>
          <w:sz w:val="24"/>
          <w:szCs w:val="24"/>
        </w:rPr>
        <w:t xml:space="preserve"> </w:t>
      </w:r>
      <w:r>
        <w:rPr>
          <w:rFonts w:ascii="Palatino Linotype" w:hAnsi="Palatino Linotype" w:cs="Arial Narrow"/>
          <w:sz w:val="24"/>
          <w:szCs w:val="24"/>
        </w:rPr>
        <w:t xml:space="preserve">la totalidad de la información por el periodo precisado por el impetrante, tampoco proporcionó </w:t>
      </w:r>
      <w:r w:rsidRPr="00A35836">
        <w:rPr>
          <w:rFonts w:ascii="Palatino Linotype" w:hAnsi="Palatino Linotype" w:cs="Arial Narrow"/>
          <w:sz w:val="24"/>
          <w:szCs w:val="24"/>
        </w:rPr>
        <w:t xml:space="preserve">el nombre de las personas que interpusieron las demandas, ni el estado procesal de los referidos expedientes, </w:t>
      </w:r>
      <w:r>
        <w:rPr>
          <w:rFonts w:ascii="Palatino Linotype" w:hAnsi="Palatino Linotype" w:cs="Arial Narrow"/>
          <w:sz w:val="24"/>
          <w:szCs w:val="24"/>
        </w:rPr>
        <w:t xml:space="preserve">ante tal circunstancia lo procedente sería ordenar que se </w:t>
      </w:r>
      <w:r>
        <w:rPr>
          <w:rFonts w:ascii="Palatino Linotype" w:hAnsi="Palatino Linotype" w:cs="Arial Narrow"/>
          <w:sz w:val="24"/>
          <w:szCs w:val="24"/>
        </w:rPr>
        <w:lastRenderedPageBreak/>
        <w:t>realizara la entrega del documento o documentos en donde conste tal circunstancias.</w:t>
      </w:r>
    </w:p>
    <w:p w:rsidR="00CC6AF5" w:rsidRDefault="00CC6AF5" w:rsidP="00CC6AF5">
      <w:pPr>
        <w:pStyle w:val="Prrafodelista"/>
        <w:rPr>
          <w:rFonts w:ascii="Palatino Linotype" w:eastAsia="Calibri" w:hAnsi="Palatino Linotype" w:cs="Times New Roman"/>
          <w:sz w:val="24"/>
          <w:szCs w:val="24"/>
          <w:lang w:val="es-ES" w:eastAsia="es-ES"/>
        </w:rPr>
      </w:pPr>
    </w:p>
    <w:p w:rsidR="00B1684D" w:rsidRPr="00B1684D" w:rsidRDefault="00B1684D" w:rsidP="00B1684D">
      <w:pPr>
        <w:numPr>
          <w:ilvl w:val="0"/>
          <w:numId w:val="1"/>
        </w:numPr>
        <w:autoSpaceDE w:val="0"/>
        <w:autoSpaceDN w:val="0"/>
        <w:adjustRightInd w:val="0"/>
        <w:spacing w:before="240" w:after="0" w:line="360" w:lineRule="auto"/>
        <w:ind w:left="0" w:right="49"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Sin </w:t>
      </w:r>
      <w:r w:rsidRPr="00B1684D">
        <w:rPr>
          <w:rFonts w:ascii="Palatino Linotype" w:eastAsia="Calibri" w:hAnsi="Palatino Linotype" w:cs="Times New Roman"/>
          <w:sz w:val="24"/>
          <w:szCs w:val="24"/>
          <w:lang w:val="es-ES" w:eastAsia="es-ES"/>
        </w:rPr>
        <w:t xml:space="preserve">embargo, se refirió que para hacer la entrega de la información </w:t>
      </w:r>
      <w:r>
        <w:rPr>
          <w:rFonts w:ascii="Palatino Linotype" w:eastAsia="Calibri" w:hAnsi="Palatino Linotype" w:cs="Times New Roman"/>
          <w:sz w:val="24"/>
          <w:szCs w:val="24"/>
          <w:lang w:val="es-ES" w:eastAsia="es-ES"/>
        </w:rPr>
        <w:t xml:space="preserve">se debería de observar </w:t>
      </w:r>
      <w:r w:rsidRPr="00B1684D">
        <w:rPr>
          <w:rFonts w:ascii="Palatino Linotype" w:hAnsi="Palatino Linotype"/>
          <w:sz w:val="24"/>
          <w:szCs w:val="24"/>
        </w:rPr>
        <w:t xml:space="preserve">la naturaleza dicho derecho </w:t>
      </w:r>
      <w:r>
        <w:rPr>
          <w:rFonts w:ascii="Palatino Linotype" w:hAnsi="Palatino Linotype"/>
          <w:sz w:val="24"/>
          <w:szCs w:val="24"/>
        </w:rPr>
        <w:t xml:space="preserve">ya que el mismo </w:t>
      </w:r>
      <w:r w:rsidRPr="00B1684D">
        <w:rPr>
          <w:rFonts w:ascii="Palatino Linotype" w:hAnsi="Palatino Linotype"/>
          <w:sz w:val="24"/>
          <w:szCs w:val="24"/>
        </w:rPr>
        <w:t xml:space="preserve">puede ser restringido de manera </w:t>
      </w:r>
      <w:r w:rsidRPr="00B1684D">
        <w:rPr>
          <w:rFonts w:ascii="Palatino Linotype" w:hAnsi="Palatino Linotype" w:cs="Arial"/>
          <w:sz w:val="24"/>
          <w:szCs w:val="24"/>
        </w:rPr>
        <w:t xml:space="preserve">excepcional por razones de interés público, </w:t>
      </w:r>
      <w:r w:rsidRPr="00B1684D">
        <w:rPr>
          <w:rFonts w:ascii="Palatino Linotype" w:eastAsiaTheme="minorEastAsia" w:hAnsi="Palatino Linotype" w:cs="Arial"/>
          <w:sz w:val="24"/>
          <w:szCs w:val="24"/>
        </w:rPr>
        <w:t>en los términos de las causas legítimas y estrictamente necesarias previstas por la Ley, a través de la clasificación de la información como confidencial o reservada para permitir el acceso</w:t>
      </w:r>
      <w:r>
        <w:rPr>
          <w:rFonts w:ascii="Palatino Linotype" w:eastAsiaTheme="minorEastAsia" w:hAnsi="Palatino Linotype" w:cs="Arial"/>
          <w:sz w:val="24"/>
          <w:szCs w:val="24"/>
        </w:rPr>
        <w:t>, para lo cual se menciona el contenido del artículo 91 de la Ley en la materia, que a la letra dice:</w:t>
      </w:r>
    </w:p>
    <w:p w:rsidR="00B1684D" w:rsidRDefault="00B1684D" w:rsidP="00B1684D">
      <w:pPr>
        <w:pStyle w:val="Prrafodelista"/>
        <w:rPr>
          <w:rFonts w:ascii="Palatino Linotype" w:eastAsia="Calibri" w:hAnsi="Palatino Linotype" w:cs="Times New Roman"/>
          <w:sz w:val="24"/>
          <w:szCs w:val="24"/>
          <w:lang w:val="es-ES" w:eastAsia="es-ES"/>
        </w:rPr>
      </w:pPr>
    </w:p>
    <w:p w:rsidR="00071313" w:rsidRDefault="00071313" w:rsidP="00B1684D">
      <w:pPr>
        <w:pStyle w:val="Prrafodelista"/>
        <w:rPr>
          <w:rFonts w:ascii="Palatino Linotype" w:eastAsia="Calibri" w:hAnsi="Palatino Linotype" w:cs="Times New Roman"/>
          <w:sz w:val="24"/>
          <w:szCs w:val="24"/>
          <w:lang w:val="es-ES" w:eastAsia="es-ES"/>
        </w:rPr>
      </w:pPr>
    </w:p>
    <w:p w:rsidR="00B1684D" w:rsidRPr="00B1684D" w:rsidRDefault="00B1684D" w:rsidP="00B1684D">
      <w:pPr>
        <w:pStyle w:val="Prrafodelista"/>
        <w:autoSpaceDE w:val="0"/>
        <w:autoSpaceDN w:val="0"/>
        <w:adjustRightInd w:val="0"/>
        <w:spacing w:line="360" w:lineRule="auto"/>
        <w:ind w:left="284" w:right="616"/>
        <w:jc w:val="both"/>
        <w:rPr>
          <w:rFonts w:ascii="Palatino Linotype" w:eastAsiaTheme="minorEastAsia" w:hAnsi="Palatino Linotype" w:cs="Arial"/>
          <w:i/>
        </w:rPr>
      </w:pPr>
      <w:r w:rsidRPr="00B1684D">
        <w:rPr>
          <w:rFonts w:ascii="Palatino Linotype" w:eastAsiaTheme="minorEastAsia" w:hAnsi="Palatino Linotype" w:cs="Arial"/>
          <w:b/>
          <w:bCs/>
          <w:i/>
        </w:rPr>
        <w:t xml:space="preserve">“Artículo 91. </w:t>
      </w:r>
      <w:r w:rsidRPr="00B1684D">
        <w:rPr>
          <w:rFonts w:ascii="Palatino Linotype" w:eastAsiaTheme="minorEastAsia" w:hAnsi="Palatino Linotype" w:cs="Arial"/>
          <w:i/>
        </w:rPr>
        <w:t>El acceso a la información pública será restringido excepcionalmente, cuando ésta sea clasificada como reservada o confidencial.”</w:t>
      </w:r>
    </w:p>
    <w:p w:rsidR="00B1684D" w:rsidRPr="00B1684D" w:rsidRDefault="00B1684D" w:rsidP="00B1684D">
      <w:pPr>
        <w:pStyle w:val="Prrafodelista"/>
        <w:autoSpaceDE w:val="0"/>
        <w:autoSpaceDN w:val="0"/>
        <w:adjustRightInd w:val="0"/>
        <w:ind w:left="360" w:right="900"/>
        <w:jc w:val="both"/>
        <w:rPr>
          <w:rFonts w:ascii="Palatino Linotype" w:eastAsiaTheme="minorEastAsia" w:hAnsi="Palatino Linotype" w:cs="Arial"/>
          <w:i/>
        </w:rPr>
      </w:pPr>
    </w:p>
    <w:p w:rsidR="00CC6AF5" w:rsidRDefault="00B1684D" w:rsidP="00657481">
      <w:pPr>
        <w:numPr>
          <w:ilvl w:val="0"/>
          <w:numId w:val="1"/>
        </w:numPr>
        <w:autoSpaceDE w:val="0"/>
        <w:autoSpaceDN w:val="0"/>
        <w:adjustRightInd w:val="0"/>
        <w:spacing w:before="240" w:after="0" w:line="360" w:lineRule="auto"/>
        <w:ind w:left="0" w:right="49"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De lo anterior, en la resolución de dijo que la información </w:t>
      </w:r>
      <w:r w:rsidRPr="00B1684D">
        <w:rPr>
          <w:rFonts w:ascii="Palatino Linotype" w:eastAsia="Calibri" w:hAnsi="Palatino Linotype" w:cs="Times New Roman"/>
          <w:sz w:val="24"/>
          <w:szCs w:val="24"/>
          <w:lang w:val="es-ES" w:eastAsia="es-ES"/>
        </w:rPr>
        <w:t>podría actualizar</w:t>
      </w:r>
      <w:r>
        <w:rPr>
          <w:rFonts w:ascii="Palatino Linotype" w:eastAsia="Calibri" w:hAnsi="Palatino Linotype" w:cs="Times New Roman"/>
          <w:sz w:val="24"/>
          <w:szCs w:val="24"/>
          <w:lang w:val="es-ES" w:eastAsia="es-ES"/>
        </w:rPr>
        <w:t>se en</w:t>
      </w:r>
      <w:r w:rsidRPr="00B1684D">
        <w:rPr>
          <w:rFonts w:ascii="Palatino Linotype" w:eastAsia="Calibri" w:hAnsi="Palatino Linotype" w:cs="Times New Roman"/>
          <w:sz w:val="24"/>
          <w:szCs w:val="24"/>
          <w:lang w:val="es-ES" w:eastAsia="es-ES"/>
        </w:rPr>
        <w:t xml:space="preserve"> alg</w:t>
      </w:r>
      <w:r>
        <w:rPr>
          <w:rFonts w:ascii="Palatino Linotype" w:eastAsia="Calibri" w:hAnsi="Palatino Linotype" w:cs="Times New Roman"/>
          <w:sz w:val="24"/>
          <w:szCs w:val="24"/>
          <w:lang w:val="es-ES" w:eastAsia="es-ES"/>
        </w:rPr>
        <w:t xml:space="preserve">uno de los supuestos de reserva o confidencial, por lo tanto </w:t>
      </w:r>
      <w:r w:rsidR="00F22A99">
        <w:rPr>
          <w:rFonts w:ascii="Palatino Linotype" w:eastAsia="Calibri" w:hAnsi="Palatino Linotype" w:cs="Times New Roman"/>
          <w:sz w:val="24"/>
          <w:szCs w:val="24"/>
          <w:lang w:val="es-ES" w:eastAsia="es-ES"/>
        </w:rPr>
        <w:t xml:space="preserve">con </w:t>
      </w:r>
      <w:r w:rsidR="00F22A99" w:rsidRPr="00F22A99">
        <w:rPr>
          <w:rFonts w:ascii="Palatino Linotype" w:eastAsia="Calibri" w:hAnsi="Palatino Linotype" w:cs="Times New Roman"/>
          <w:sz w:val="24"/>
          <w:szCs w:val="24"/>
          <w:lang w:val="es-ES" w:eastAsia="es-ES"/>
        </w:rPr>
        <w:t xml:space="preserve">relación al nombre del actor, debe considerarse en primer lugar que conlleva un dato personal, pues el nombre es uno de los atributos de la personalidad y la manifestación principal del derecho subjetivo a la identidad, en virtud de que este por sí mismo es un elemento que identifica a una persona física, que debe ser protegido en los términos y con las excepciones a los principios de tratamiento de datos que por razones de orden público fijen las leyes, entendiéndose como dato personal toda la </w:t>
      </w:r>
      <w:r w:rsidR="00F22A99" w:rsidRPr="00F22A99">
        <w:rPr>
          <w:rFonts w:ascii="Palatino Linotype" w:eastAsia="Calibri" w:hAnsi="Palatino Linotype" w:cs="Times New Roman"/>
          <w:sz w:val="24"/>
          <w:szCs w:val="24"/>
          <w:lang w:val="es-ES" w:eastAsia="es-ES"/>
        </w:rPr>
        <w:lastRenderedPageBreak/>
        <w:t>información concerniente a una persona física o jurídico colectiva identificada o identificable y que por tal motivo, constituye información de carácter confidencial</w:t>
      </w:r>
      <w:r w:rsidR="00F22A99">
        <w:rPr>
          <w:rFonts w:ascii="Palatino Linotype" w:eastAsia="Calibri" w:hAnsi="Palatino Linotype" w:cs="Times New Roman"/>
          <w:sz w:val="24"/>
          <w:szCs w:val="24"/>
          <w:lang w:val="es-ES" w:eastAsia="es-ES"/>
        </w:rPr>
        <w:t>.</w:t>
      </w:r>
    </w:p>
    <w:p w:rsidR="00F22A99" w:rsidRDefault="00F22A99" w:rsidP="00F22A99">
      <w:pPr>
        <w:autoSpaceDE w:val="0"/>
        <w:autoSpaceDN w:val="0"/>
        <w:adjustRightInd w:val="0"/>
        <w:spacing w:before="240" w:after="0" w:line="360" w:lineRule="auto"/>
        <w:ind w:right="49"/>
        <w:contextualSpacing/>
        <w:jc w:val="both"/>
        <w:rPr>
          <w:rFonts w:ascii="Palatino Linotype" w:eastAsia="Calibri" w:hAnsi="Palatino Linotype" w:cs="Times New Roman"/>
          <w:sz w:val="24"/>
          <w:szCs w:val="24"/>
          <w:lang w:val="es-ES" w:eastAsia="es-ES"/>
        </w:rPr>
      </w:pPr>
    </w:p>
    <w:p w:rsidR="00F22A99" w:rsidRDefault="00F22A99" w:rsidP="00657481">
      <w:pPr>
        <w:numPr>
          <w:ilvl w:val="0"/>
          <w:numId w:val="1"/>
        </w:numPr>
        <w:autoSpaceDE w:val="0"/>
        <w:autoSpaceDN w:val="0"/>
        <w:adjustRightInd w:val="0"/>
        <w:spacing w:before="240" w:after="0" w:line="360" w:lineRule="auto"/>
        <w:ind w:left="0" w:right="49"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Asimismo, </w:t>
      </w:r>
      <w:r w:rsidRPr="00F22A99">
        <w:rPr>
          <w:rFonts w:ascii="Palatino Linotype" w:eastAsia="Calibri" w:hAnsi="Palatino Linotype" w:cs="Times New Roman"/>
          <w:sz w:val="24"/>
          <w:szCs w:val="24"/>
          <w:lang w:val="es-ES" w:eastAsia="es-ES"/>
        </w:rPr>
        <w:t>para que las dependencias o entidades puedan difundir, distribuir o comercializar los datos personales contenidos en sus sistemas de información, a un tercero distinto a su titular, deben contar con el consentimiento expreso de este último, sin perjuicio de lo que dispongan las leyes en los casos de interés público</w:t>
      </w:r>
      <w:r>
        <w:rPr>
          <w:rFonts w:ascii="Palatino Linotype" w:eastAsia="Calibri" w:hAnsi="Palatino Linotype" w:cs="Times New Roman"/>
          <w:sz w:val="24"/>
          <w:szCs w:val="24"/>
          <w:lang w:val="es-ES" w:eastAsia="es-ES"/>
        </w:rPr>
        <w:t>.</w:t>
      </w:r>
    </w:p>
    <w:p w:rsidR="00F22A99" w:rsidRDefault="00F22A99" w:rsidP="00F22A99">
      <w:pPr>
        <w:pStyle w:val="Prrafodelista"/>
        <w:rPr>
          <w:rFonts w:ascii="Palatino Linotype" w:eastAsia="Calibri" w:hAnsi="Palatino Linotype" w:cs="Times New Roman"/>
          <w:sz w:val="24"/>
          <w:szCs w:val="24"/>
          <w:lang w:val="es-ES" w:eastAsia="es-ES"/>
        </w:rPr>
      </w:pPr>
    </w:p>
    <w:p w:rsidR="00F22A99" w:rsidRDefault="00F22A99" w:rsidP="00657481">
      <w:pPr>
        <w:numPr>
          <w:ilvl w:val="0"/>
          <w:numId w:val="1"/>
        </w:numPr>
        <w:autoSpaceDE w:val="0"/>
        <w:autoSpaceDN w:val="0"/>
        <w:adjustRightInd w:val="0"/>
        <w:spacing w:before="240" w:after="0" w:line="360" w:lineRule="auto"/>
        <w:ind w:left="0" w:right="49"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 xml:space="preserve">Finalmente es de mencionar el contenido del artículo 148 fracción I que establece que la información contenida en registros públicos o fuentes de acceso público como es el caso del </w:t>
      </w:r>
      <w:r w:rsidR="00A1631C">
        <w:rPr>
          <w:rFonts w:ascii="Palatino Linotype" w:eastAsia="Calibri" w:hAnsi="Palatino Linotype" w:cs="Times New Roman"/>
          <w:sz w:val="24"/>
          <w:szCs w:val="24"/>
          <w:lang w:val="es-ES" w:eastAsia="es-ES"/>
        </w:rPr>
        <w:t>B</w:t>
      </w:r>
      <w:r>
        <w:rPr>
          <w:rFonts w:ascii="Palatino Linotype" w:eastAsia="Calibri" w:hAnsi="Palatino Linotype" w:cs="Times New Roman"/>
          <w:sz w:val="24"/>
          <w:szCs w:val="24"/>
          <w:lang w:val="es-ES" w:eastAsia="es-ES"/>
        </w:rPr>
        <w:t xml:space="preserve">oletín </w:t>
      </w:r>
      <w:r w:rsidR="00A1631C">
        <w:rPr>
          <w:rFonts w:ascii="Palatino Linotype" w:eastAsia="Calibri" w:hAnsi="Palatino Linotype" w:cs="Times New Roman"/>
          <w:sz w:val="24"/>
          <w:szCs w:val="24"/>
          <w:lang w:val="es-ES" w:eastAsia="es-ES"/>
        </w:rPr>
        <w:t xml:space="preserve">Laboral </w:t>
      </w:r>
      <w:r>
        <w:rPr>
          <w:rFonts w:ascii="Palatino Linotype" w:eastAsia="Calibri" w:hAnsi="Palatino Linotype" w:cs="Times New Roman"/>
          <w:sz w:val="24"/>
          <w:szCs w:val="24"/>
          <w:lang w:val="es-ES" w:eastAsia="es-ES"/>
        </w:rPr>
        <w:t xml:space="preserve">de la Junta </w:t>
      </w:r>
      <w:r w:rsidR="00A1631C">
        <w:rPr>
          <w:rFonts w:ascii="Palatino Linotype" w:eastAsia="Calibri" w:hAnsi="Palatino Linotype" w:cs="Times New Roman"/>
          <w:sz w:val="24"/>
          <w:szCs w:val="24"/>
          <w:lang w:val="es-ES" w:eastAsia="es-ES"/>
        </w:rPr>
        <w:t xml:space="preserve">Local </w:t>
      </w:r>
      <w:r>
        <w:rPr>
          <w:rFonts w:ascii="Palatino Linotype" w:eastAsia="Calibri" w:hAnsi="Palatino Linotype" w:cs="Times New Roman"/>
          <w:sz w:val="24"/>
          <w:szCs w:val="24"/>
          <w:lang w:val="es-ES" w:eastAsia="es-ES"/>
        </w:rPr>
        <w:t xml:space="preserve">de Conciliación </w:t>
      </w:r>
      <w:r w:rsidR="00A1631C">
        <w:rPr>
          <w:rFonts w:ascii="Palatino Linotype" w:eastAsia="Calibri" w:hAnsi="Palatino Linotype" w:cs="Times New Roman"/>
          <w:sz w:val="24"/>
          <w:szCs w:val="24"/>
          <w:lang w:val="es-ES" w:eastAsia="es-ES"/>
        </w:rPr>
        <w:t xml:space="preserve"> y Arbitraje que es publicado a diario, en donde se puede consultar los nombre de la contrapartes, esto sin tomar en cuenta que el sentido de la resolución, es decir no se sabe quién va a ser el favorecido, sin embargo el dato referente al nombre ya es de dominio público mediante esta publicación que se hace, por lo tanto no tendría caso hacer la protección de un dato personal que ya fue expuesto en una fuente de acceso público y que cualquier persona puede consultar.</w:t>
      </w:r>
    </w:p>
    <w:p w:rsidR="00A1631C" w:rsidRDefault="00A1631C" w:rsidP="00A1631C">
      <w:pPr>
        <w:pStyle w:val="Prrafodelista"/>
        <w:rPr>
          <w:rFonts w:ascii="Palatino Linotype" w:eastAsia="Calibri" w:hAnsi="Palatino Linotype" w:cs="Times New Roman"/>
          <w:sz w:val="24"/>
          <w:szCs w:val="24"/>
          <w:lang w:val="es-ES" w:eastAsia="es-ES"/>
        </w:rPr>
      </w:pPr>
    </w:p>
    <w:p w:rsidR="00A1631C" w:rsidRDefault="00A1631C" w:rsidP="00657481">
      <w:pPr>
        <w:numPr>
          <w:ilvl w:val="0"/>
          <w:numId w:val="1"/>
        </w:numPr>
        <w:autoSpaceDE w:val="0"/>
        <w:autoSpaceDN w:val="0"/>
        <w:adjustRightInd w:val="0"/>
        <w:spacing w:before="240" w:after="0" w:line="360" w:lineRule="auto"/>
        <w:ind w:left="0" w:right="49" w:firstLine="0"/>
        <w:contextualSpacing/>
        <w:jc w:val="both"/>
        <w:rPr>
          <w:rFonts w:ascii="Palatino Linotype" w:eastAsia="Calibri" w:hAnsi="Palatino Linotype" w:cs="Times New Roman"/>
          <w:sz w:val="24"/>
          <w:szCs w:val="24"/>
          <w:lang w:val="es-ES" w:eastAsia="es-ES"/>
        </w:rPr>
      </w:pPr>
      <w:r>
        <w:rPr>
          <w:rFonts w:ascii="Palatino Linotype" w:eastAsia="Calibri" w:hAnsi="Palatino Linotype" w:cs="Times New Roman"/>
          <w:sz w:val="24"/>
          <w:szCs w:val="24"/>
          <w:lang w:val="es-ES" w:eastAsia="es-ES"/>
        </w:rPr>
        <w:t>Es de referir que si bien es cierto que es responsabilidad de los Sujeto</w:t>
      </w:r>
      <w:r w:rsidR="00146D8F">
        <w:rPr>
          <w:rFonts w:ascii="Palatino Linotype" w:eastAsia="Calibri" w:hAnsi="Palatino Linotype" w:cs="Times New Roman"/>
          <w:sz w:val="24"/>
          <w:szCs w:val="24"/>
          <w:lang w:val="es-ES" w:eastAsia="es-ES"/>
        </w:rPr>
        <w:t>s</w:t>
      </w:r>
      <w:r>
        <w:rPr>
          <w:rFonts w:ascii="Palatino Linotype" w:eastAsia="Calibri" w:hAnsi="Palatino Linotype" w:cs="Times New Roman"/>
          <w:sz w:val="24"/>
          <w:szCs w:val="24"/>
          <w:lang w:val="es-ES" w:eastAsia="es-ES"/>
        </w:rPr>
        <w:t xml:space="preserve"> Obligados custodiarla información que obre en su poder, también lo es que debe tomarse en cuenta las circunstancias en que se encuentre la información que es </w:t>
      </w:r>
      <w:r>
        <w:rPr>
          <w:rFonts w:ascii="Palatino Linotype" w:eastAsia="Calibri" w:hAnsi="Palatino Linotype" w:cs="Times New Roman"/>
          <w:sz w:val="24"/>
          <w:szCs w:val="24"/>
          <w:lang w:val="es-ES" w:eastAsia="es-ES"/>
        </w:rPr>
        <w:lastRenderedPageBreak/>
        <w:t>solic</w:t>
      </w:r>
      <w:r w:rsidR="00146D8F">
        <w:rPr>
          <w:rFonts w:ascii="Palatino Linotype" w:eastAsia="Calibri" w:hAnsi="Palatino Linotype" w:cs="Times New Roman"/>
          <w:sz w:val="24"/>
          <w:szCs w:val="24"/>
          <w:lang w:val="es-ES" w:eastAsia="es-ES"/>
        </w:rPr>
        <w:t>itada, tratándose que información y que se encuentre en registros públicos o fuentes de acceso público, no es procedente requerir el consentimiento del titular de los datos.</w:t>
      </w:r>
    </w:p>
    <w:p w:rsidR="00146D8F" w:rsidRDefault="00146D8F" w:rsidP="00146D8F">
      <w:pPr>
        <w:spacing w:line="360" w:lineRule="auto"/>
        <w:ind w:left="284" w:right="900"/>
        <w:jc w:val="both"/>
        <w:rPr>
          <w:rFonts w:ascii="Palatino Linotype" w:hAnsi="Palatino Linotype"/>
          <w:i/>
          <w:sz w:val="24"/>
          <w:szCs w:val="24"/>
        </w:rPr>
      </w:pPr>
      <w:r w:rsidRPr="00DA75A2">
        <w:rPr>
          <w:rFonts w:ascii="Palatino Linotype" w:hAnsi="Palatino Linotype"/>
          <w:i/>
          <w:sz w:val="24"/>
          <w:szCs w:val="24"/>
        </w:rPr>
        <w:t xml:space="preserve"> </w:t>
      </w:r>
      <w:bookmarkStart w:id="2" w:name="_Toc535858038"/>
    </w:p>
    <w:p w:rsidR="00DA75A2" w:rsidRPr="00DA75A2" w:rsidRDefault="00DA75A2" w:rsidP="00146D8F">
      <w:pPr>
        <w:spacing w:line="360" w:lineRule="auto"/>
        <w:ind w:left="-142" w:right="900"/>
        <w:jc w:val="both"/>
        <w:rPr>
          <w:rFonts w:ascii="Palatino Linotype" w:eastAsia="Calibri" w:hAnsi="Palatino Linotype" w:cstheme="majorBidi"/>
          <w:b/>
          <w:color w:val="000000" w:themeColor="text1"/>
          <w:sz w:val="24"/>
          <w:szCs w:val="24"/>
        </w:rPr>
      </w:pPr>
      <w:r w:rsidRPr="00DA75A2">
        <w:rPr>
          <w:rFonts w:ascii="Palatino Linotype" w:eastAsia="Calibri" w:hAnsi="Palatino Linotype" w:cstheme="majorBidi"/>
          <w:b/>
          <w:sz w:val="24"/>
          <w:szCs w:val="24"/>
        </w:rPr>
        <w:t>V. Conclusión.</w:t>
      </w:r>
      <w:bookmarkEnd w:id="2"/>
    </w:p>
    <w:p w:rsidR="00DA75A2" w:rsidRPr="00DA75A2" w:rsidRDefault="00DA75A2" w:rsidP="00DA75A2">
      <w:pPr>
        <w:contextualSpacing/>
        <w:rPr>
          <w:rFonts w:ascii="Palatino Linotype" w:eastAsia="Calibri" w:hAnsi="Palatino Linotype" w:cs="Arial"/>
          <w:sz w:val="24"/>
          <w:szCs w:val="24"/>
        </w:rPr>
      </w:pPr>
    </w:p>
    <w:p w:rsidR="00146D8F" w:rsidRDefault="00DA75A2" w:rsidP="00146D8F">
      <w:pPr>
        <w:numPr>
          <w:ilvl w:val="0"/>
          <w:numId w:val="1"/>
        </w:numPr>
        <w:spacing w:line="360" w:lineRule="auto"/>
        <w:ind w:left="0" w:firstLine="0"/>
        <w:contextualSpacing/>
        <w:jc w:val="both"/>
        <w:rPr>
          <w:rFonts w:ascii="Palatino Linotype" w:eastAsia="Calibri" w:hAnsi="Palatino Linotype" w:cs="Arial"/>
          <w:sz w:val="24"/>
          <w:szCs w:val="24"/>
        </w:rPr>
      </w:pPr>
      <w:r w:rsidRPr="00DA75A2">
        <w:rPr>
          <w:rFonts w:ascii="Palatino Linotype" w:eastAsia="Calibri" w:hAnsi="Palatino Linotype" w:cs="Arial"/>
          <w:sz w:val="24"/>
          <w:szCs w:val="24"/>
        </w:rPr>
        <w:t xml:space="preserve">Por lo mencionado anteriormente, considero que </w:t>
      </w:r>
      <w:r w:rsidR="00146D8F">
        <w:rPr>
          <w:rFonts w:ascii="Palatino Linotype" w:eastAsia="Calibri" w:hAnsi="Palatino Linotype" w:cs="Arial"/>
          <w:sz w:val="24"/>
          <w:szCs w:val="24"/>
        </w:rPr>
        <w:t>la protección de la información que se encuentre en registros y fuentes de acceso públic</w:t>
      </w:r>
      <w:r w:rsidR="00071313">
        <w:rPr>
          <w:rFonts w:ascii="Palatino Linotype" w:eastAsia="Calibri" w:hAnsi="Palatino Linotype" w:cs="Arial"/>
          <w:sz w:val="24"/>
          <w:szCs w:val="24"/>
        </w:rPr>
        <w:t>o, no tiene razón de ser toda vez que la información puede ser consultada por cualquier persona en el momento que así lo determine.</w:t>
      </w:r>
    </w:p>
    <w:p w:rsidR="00DA75A2" w:rsidRPr="00DA75A2" w:rsidRDefault="00DA75A2" w:rsidP="00DA75A2">
      <w:pPr>
        <w:rPr>
          <w:rFonts w:ascii="Palatino Linotype" w:hAnsi="Palatino Linotype" w:cs="Arial"/>
          <w:color w:val="000000" w:themeColor="text1"/>
          <w:sz w:val="24"/>
          <w:szCs w:val="24"/>
        </w:rPr>
      </w:pPr>
    </w:p>
    <w:p w:rsidR="00DA75A2" w:rsidRPr="00DA75A2" w:rsidRDefault="00DA75A2" w:rsidP="00DA75A2">
      <w:pPr>
        <w:spacing w:before="240" w:after="240" w:line="360" w:lineRule="auto"/>
        <w:contextualSpacing/>
        <w:jc w:val="both"/>
        <w:rPr>
          <w:rFonts w:ascii="Palatino Linotype" w:hAnsi="Palatino Linotype" w:cs="Arial"/>
          <w:color w:val="000000" w:themeColor="text1"/>
          <w:sz w:val="24"/>
          <w:szCs w:val="24"/>
        </w:rPr>
      </w:pPr>
    </w:p>
    <w:p w:rsidR="00DA75A2" w:rsidRPr="00DA75A2" w:rsidRDefault="00DA75A2" w:rsidP="00DA75A2">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sidRPr="00DA75A2">
        <w:rPr>
          <w:rFonts w:ascii="Palatino Linotype" w:eastAsia="Arial" w:hAnsi="Palatino Linotype" w:cs="Arial"/>
          <w:b/>
          <w:color w:val="000000" w:themeColor="text1"/>
          <w:sz w:val="24"/>
          <w:szCs w:val="24"/>
          <w:lang w:eastAsia="es-MX"/>
        </w:rPr>
        <w:tab/>
        <w:t>JOSÉ GUADALUPE LUNA HERNÁNDEZ</w:t>
      </w:r>
      <w:r w:rsidRPr="00DA75A2">
        <w:rPr>
          <w:rFonts w:ascii="Palatino Linotype" w:eastAsia="Arial" w:hAnsi="Palatino Linotype" w:cs="Arial"/>
          <w:b/>
          <w:color w:val="000000" w:themeColor="text1"/>
          <w:sz w:val="24"/>
          <w:szCs w:val="24"/>
          <w:lang w:eastAsia="es-MX"/>
        </w:rPr>
        <w:tab/>
      </w:r>
    </w:p>
    <w:p w:rsidR="00DA75A2" w:rsidRPr="00DA75A2" w:rsidRDefault="00DA75A2" w:rsidP="00DA75A2">
      <w:pPr>
        <w:spacing w:line="360" w:lineRule="auto"/>
        <w:jc w:val="center"/>
        <w:rPr>
          <w:rFonts w:ascii="Palatino Linotype" w:eastAsia="Arial" w:hAnsi="Palatino Linotype" w:cs="Arial"/>
          <w:b/>
          <w:color w:val="000000" w:themeColor="text1"/>
          <w:sz w:val="24"/>
          <w:szCs w:val="24"/>
          <w:lang w:eastAsia="es-MX"/>
        </w:rPr>
      </w:pPr>
      <w:r w:rsidRPr="00DA75A2">
        <w:rPr>
          <w:rFonts w:ascii="Palatino Linotype" w:eastAsia="Arial" w:hAnsi="Palatino Linotype" w:cs="Arial"/>
          <w:b/>
          <w:color w:val="000000" w:themeColor="text1"/>
          <w:sz w:val="24"/>
          <w:szCs w:val="24"/>
          <w:lang w:eastAsia="es-MX"/>
        </w:rPr>
        <w:t>COMISIONADO</w:t>
      </w:r>
    </w:p>
    <w:p w:rsidR="00071313" w:rsidRDefault="00071313" w:rsidP="00DA75A2">
      <w:pPr>
        <w:rPr>
          <w:rFonts w:ascii="Palatino Linotype" w:hAnsi="Palatino Linotype"/>
          <w:color w:val="000000" w:themeColor="text1"/>
          <w:sz w:val="24"/>
          <w:szCs w:val="24"/>
        </w:rPr>
      </w:pPr>
    </w:p>
    <w:p w:rsidR="00071313" w:rsidRPr="00DA75A2" w:rsidRDefault="00071313" w:rsidP="00DA75A2">
      <w:pPr>
        <w:rPr>
          <w:rFonts w:ascii="Palatino Linotype" w:hAnsi="Palatino Linotype"/>
          <w:color w:val="000000" w:themeColor="text1"/>
          <w:sz w:val="24"/>
          <w:szCs w:val="24"/>
        </w:rPr>
      </w:pPr>
    </w:p>
    <w:p w:rsidR="00DA75A2" w:rsidRPr="00DA75A2" w:rsidRDefault="00DA75A2" w:rsidP="00DA75A2">
      <w:pPr>
        <w:rPr>
          <w:rFonts w:ascii="Palatino Linotype" w:hAnsi="Palatino Linotype"/>
          <w:color w:val="000000" w:themeColor="text1"/>
          <w:sz w:val="24"/>
          <w:szCs w:val="24"/>
        </w:rPr>
      </w:pPr>
      <w:r w:rsidRPr="00DA75A2">
        <w:rPr>
          <w:rFonts w:ascii="Palatino Linotype" w:hAnsi="Palatino Linotype"/>
          <w:color w:val="000000" w:themeColor="text1"/>
          <w:sz w:val="24"/>
          <w:szCs w:val="24"/>
        </w:rPr>
        <w:t>JGLH/MSA</w:t>
      </w:r>
    </w:p>
    <w:p w:rsidR="00DA75A2" w:rsidRPr="00DA75A2" w:rsidRDefault="00DA75A2" w:rsidP="00DA75A2">
      <w:pPr>
        <w:rPr>
          <w:sz w:val="24"/>
          <w:szCs w:val="24"/>
        </w:rPr>
      </w:pPr>
    </w:p>
    <w:p w:rsidR="004810D1" w:rsidRDefault="004810D1">
      <w:bookmarkStart w:id="3" w:name="_GoBack"/>
      <w:bookmarkEnd w:id="3"/>
    </w:p>
    <w:sectPr w:rsidR="004810D1" w:rsidSect="00DA75A2">
      <w:headerReference w:type="even" r:id="rId11"/>
      <w:headerReference w:type="default" r:id="rId12"/>
      <w:footerReference w:type="default" r:id="rId13"/>
      <w:headerReference w:type="first" r:id="rId14"/>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2F4" w:rsidRDefault="005162F4" w:rsidP="00DA75A2">
      <w:pPr>
        <w:spacing w:after="0" w:line="240" w:lineRule="auto"/>
      </w:pPr>
      <w:r>
        <w:separator/>
      </w:r>
    </w:p>
  </w:endnote>
  <w:endnote w:type="continuationSeparator" w:id="0">
    <w:p w:rsidR="005162F4" w:rsidRDefault="005162F4" w:rsidP="00DA7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DA75A2" w:rsidRDefault="00DA75A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07CD7">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07CD7">
              <w:rPr>
                <w:b/>
                <w:bCs/>
                <w:noProof/>
              </w:rPr>
              <w:t>9</w:t>
            </w:r>
            <w:r>
              <w:rPr>
                <w:b/>
                <w:bCs/>
                <w:sz w:val="24"/>
                <w:szCs w:val="24"/>
              </w:rPr>
              <w:fldChar w:fldCharType="end"/>
            </w:r>
          </w:p>
        </w:sdtContent>
      </w:sdt>
    </w:sdtContent>
  </w:sdt>
  <w:p w:rsidR="00DA75A2" w:rsidRDefault="00DA75A2" w:rsidP="00DA75A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2F4" w:rsidRDefault="005162F4" w:rsidP="00DA75A2">
      <w:pPr>
        <w:spacing w:after="0" w:line="240" w:lineRule="auto"/>
      </w:pPr>
      <w:r>
        <w:separator/>
      </w:r>
    </w:p>
  </w:footnote>
  <w:footnote w:type="continuationSeparator" w:id="0">
    <w:p w:rsidR="005162F4" w:rsidRDefault="005162F4" w:rsidP="00DA75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A2" w:rsidRDefault="00607C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977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A2" w:rsidRDefault="00607C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875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DA75A2" w:rsidRDefault="00DA75A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75A2" w:rsidRDefault="00607C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772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
    <w:nsid w:val="0BC0097E"/>
    <w:multiLevelType w:val="hybridMultilevel"/>
    <w:tmpl w:val="45C285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11511D2"/>
    <w:multiLevelType w:val="hybridMultilevel"/>
    <w:tmpl w:val="AAF29B8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1F273FF3"/>
    <w:multiLevelType w:val="hybridMultilevel"/>
    <w:tmpl w:val="EB468520"/>
    <w:lvl w:ilvl="0" w:tplc="0088DC82">
      <w:start w:val="5"/>
      <w:numFmt w:val="decimal"/>
      <w:lvlText w:val="%1"/>
      <w:lvlJc w:val="left"/>
      <w:pPr>
        <w:ind w:left="720" w:hanging="360"/>
      </w:pPr>
      <w:rPr>
        <w:rFonts w:eastAsiaTheme="minorHAnsi" w:cstheme="minorBid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664361A"/>
    <w:multiLevelType w:val="hybridMultilevel"/>
    <w:tmpl w:val="5D7E2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BFD64AA"/>
    <w:multiLevelType w:val="hybridMultilevel"/>
    <w:tmpl w:val="47643E8E"/>
    <w:lvl w:ilvl="0" w:tplc="1E3C230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E404A3E"/>
    <w:multiLevelType w:val="hybridMultilevel"/>
    <w:tmpl w:val="F53C8C9C"/>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C8E3A4A"/>
    <w:multiLevelType w:val="hybridMultilevel"/>
    <w:tmpl w:val="CB226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9"/>
  </w:num>
  <w:num w:numId="5">
    <w:abstractNumId w:val="4"/>
  </w:num>
  <w:num w:numId="6">
    <w:abstractNumId w:val="8"/>
  </w:num>
  <w:num w:numId="7">
    <w:abstractNumId w:val="1"/>
  </w:num>
  <w:num w:numId="8">
    <w:abstractNumId w:val="5"/>
  </w:num>
  <w:num w:numId="9">
    <w:abstractNumId w:val="10"/>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5A2"/>
    <w:rsid w:val="00071313"/>
    <w:rsid w:val="00146D8F"/>
    <w:rsid w:val="004810D1"/>
    <w:rsid w:val="005162F4"/>
    <w:rsid w:val="00607CD7"/>
    <w:rsid w:val="00657481"/>
    <w:rsid w:val="00A1631C"/>
    <w:rsid w:val="00B1684D"/>
    <w:rsid w:val="00CC6AF5"/>
    <w:rsid w:val="00DA75A2"/>
    <w:rsid w:val="00EB009B"/>
    <w:rsid w:val="00F22A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348354B-7CE1-493C-B3B9-5F0300EF9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A75A2"/>
    <w:pPr>
      <w:spacing w:after="0" w:line="240" w:lineRule="auto"/>
    </w:pPr>
    <w:rPr>
      <w:sz w:val="20"/>
      <w:szCs w:val="20"/>
    </w:rPr>
  </w:style>
  <w:style w:type="character" w:customStyle="1" w:styleId="TextonotapieCar">
    <w:name w:val="Texto nota pie Car"/>
    <w:basedOn w:val="Fuentedeprrafopredeter"/>
    <w:link w:val="Textonotapie"/>
    <w:uiPriority w:val="99"/>
    <w:rsid w:val="00DA75A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f,Ref,de nota al pie,註腳內容"/>
    <w:basedOn w:val="Fuentedeprrafopredeter"/>
    <w:uiPriority w:val="99"/>
    <w:unhideWhenUsed/>
    <w:rsid w:val="00DA75A2"/>
    <w:rPr>
      <w:vertAlign w:val="superscript"/>
    </w:rPr>
  </w:style>
  <w:style w:type="paragraph" w:styleId="Piedepgina">
    <w:name w:val="footer"/>
    <w:basedOn w:val="Normal"/>
    <w:link w:val="PiedepginaCar"/>
    <w:uiPriority w:val="99"/>
    <w:unhideWhenUsed/>
    <w:rsid w:val="00DA7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A75A2"/>
  </w:style>
  <w:style w:type="paragraph" w:styleId="Encabezado">
    <w:name w:val="header"/>
    <w:basedOn w:val="Normal"/>
    <w:link w:val="EncabezadoCar"/>
    <w:uiPriority w:val="99"/>
    <w:unhideWhenUsed/>
    <w:rsid w:val="00DA75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A75A2"/>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B009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57481"/>
  </w:style>
  <w:style w:type="character" w:styleId="Hipervnculo">
    <w:name w:val="Hyperlink"/>
    <w:basedOn w:val="Fuentedeprrafopredeter"/>
    <w:uiPriority w:val="99"/>
    <w:unhideWhenUsed/>
    <w:rsid w:val="00657481"/>
    <w:rPr>
      <w:color w:val="0000FF"/>
      <w:u w:val="single"/>
    </w:rPr>
  </w:style>
  <w:style w:type="paragraph" w:styleId="TDC1">
    <w:name w:val="toc 1"/>
    <w:basedOn w:val="Normal"/>
    <w:next w:val="Normal"/>
    <w:autoRedefine/>
    <w:uiPriority w:val="39"/>
    <w:unhideWhenUsed/>
    <w:rsid w:val="00146D8F"/>
    <w:pPr>
      <w:spacing w:after="100"/>
    </w:pPr>
  </w:style>
  <w:style w:type="paragraph" w:styleId="Textodeglobo">
    <w:name w:val="Balloon Text"/>
    <w:basedOn w:val="Normal"/>
    <w:link w:val="TextodegloboCar"/>
    <w:uiPriority w:val="99"/>
    <w:semiHidden/>
    <w:unhideWhenUsed/>
    <w:rsid w:val="000713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713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033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600432.page" TargetMode="External"/><Relationship Id="rId4" Type="http://schemas.openxmlformats.org/officeDocument/2006/relationships/settings" Target="settings.xml"/><Relationship Id="rId9" Type="http://schemas.openxmlformats.org/officeDocument/2006/relationships/hyperlink" Target="https://www.saimex.org.mx/saimex/solicitud/downloadAttach/600391.page" TargetMode="Externa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56BE7-0331-47D9-974E-98CF810F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1802</Words>
  <Characters>9912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2</cp:revision>
  <cp:lastPrinted>2019-01-22T00:27:00Z</cp:lastPrinted>
  <dcterms:created xsi:type="dcterms:W3CDTF">2019-01-21T23:00:00Z</dcterms:created>
  <dcterms:modified xsi:type="dcterms:W3CDTF">2019-03-07T17:34:00Z</dcterms:modified>
</cp:coreProperties>
</file>